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5C6" w:rsidRPr="00006961" w:rsidRDefault="008609E1" w:rsidP="005365C6">
      <w:pPr>
        <w:jc w:val="center"/>
        <w:rPr>
          <w:rFonts w:ascii="Arial" w:hAnsi="Arial" w:cs="Arial"/>
          <w:b/>
          <w:noProof/>
          <w:sz w:val="28"/>
          <w:lang w:val="az-Latn-AZ"/>
        </w:rPr>
      </w:pPr>
      <w:r w:rsidRPr="00006961">
        <w:rPr>
          <w:rFonts w:ascii="Arial" w:hAnsi="Arial" w:cs="Arial"/>
          <w:b/>
          <w:noProof/>
          <w:sz w:val="28"/>
          <w:lang w:val="az-Latn-AZ"/>
        </w:rPr>
        <w:t>“</w:t>
      </w:r>
      <w:r w:rsidR="009B37AB" w:rsidRPr="00006961">
        <w:rPr>
          <w:rFonts w:ascii="Arial" w:hAnsi="Arial" w:cs="Arial"/>
          <w:b/>
          <w:noProof/>
          <w:sz w:val="28"/>
          <w:lang w:val="az-Latn-AZ"/>
        </w:rPr>
        <w:t>KAPİTAL BANK ASC</w:t>
      </w:r>
      <w:r w:rsidRPr="00006961">
        <w:rPr>
          <w:rFonts w:ascii="Arial" w:hAnsi="Arial" w:cs="Arial"/>
          <w:b/>
          <w:noProof/>
          <w:sz w:val="28"/>
          <w:lang w:val="az-Latn-AZ"/>
        </w:rPr>
        <w:t>”</w:t>
      </w:r>
      <w:r w:rsidR="005365C6" w:rsidRPr="00006961">
        <w:rPr>
          <w:rFonts w:ascii="Arial" w:hAnsi="Arial" w:cs="Arial"/>
          <w:b/>
          <w:noProof/>
          <w:sz w:val="28"/>
          <w:lang w:val="az-Latn-AZ"/>
        </w:rPr>
        <w:t>-nin</w:t>
      </w:r>
    </w:p>
    <w:p w:rsidR="00BE2B96" w:rsidRPr="00006961" w:rsidRDefault="005365C6" w:rsidP="00BE2B96">
      <w:pPr>
        <w:jc w:val="center"/>
        <w:rPr>
          <w:rFonts w:ascii="Arial" w:hAnsi="Arial" w:cs="Arial"/>
          <w:b/>
          <w:noProof/>
          <w:sz w:val="28"/>
          <w:lang w:val="az-Latn-AZ"/>
        </w:rPr>
      </w:pPr>
      <w:r w:rsidRPr="00006961">
        <w:rPr>
          <w:rFonts w:ascii="Arial" w:hAnsi="Arial" w:cs="Arial"/>
          <w:b/>
          <w:noProof/>
          <w:sz w:val="28"/>
          <w:lang w:val="az-Latn-AZ"/>
        </w:rPr>
        <w:t>Risk İştahası Bəyannaməsi</w:t>
      </w:r>
    </w:p>
    <w:p w:rsidR="00737501" w:rsidRPr="00A43012" w:rsidRDefault="00737501" w:rsidP="00A43012">
      <w:pPr>
        <w:pStyle w:val="ListParagraph"/>
        <w:numPr>
          <w:ilvl w:val="0"/>
          <w:numId w:val="6"/>
        </w:numPr>
        <w:jc w:val="center"/>
        <w:rPr>
          <w:rFonts w:ascii="Arial" w:hAnsi="Arial" w:cs="Arial"/>
          <w:b/>
          <w:noProof/>
          <w:lang w:val="az-Latn-AZ"/>
        </w:rPr>
      </w:pPr>
      <w:r w:rsidRPr="00A43012">
        <w:rPr>
          <w:rFonts w:ascii="Arial" w:hAnsi="Arial" w:cs="Arial"/>
          <w:b/>
          <w:noProof/>
          <w:lang w:val="az-Latn-AZ"/>
        </w:rPr>
        <w:t>Ümumi müddəalar</w:t>
      </w:r>
    </w:p>
    <w:p w:rsidR="00737501" w:rsidRPr="00A43012" w:rsidRDefault="00737501" w:rsidP="00A43012">
      <w:pPr>
        <w:pStyle w:val="ListParagraph"/>
        <w:numPr>
          <w:ilvl w:val="1"/>
          <w:numId w:val="6"/>
        </w:numPr>
        <w:jc w:val="both"/>
        <w:rPr>
          <w:rFonts w:ascii="Arial" w:hAnsi="Arial" w:cs="Arial"/>
          <w:lang w:val="az-Latn-AZ"/>
        </w:rPr>
      </w:pPr>
      <w:r w:rsidRPr="00A43012">
        <w:rPr>
          <w:rFonts w:ascii="Arial" w:hAnsi="Arial" w:cs="Arial"/>
          <w:lang w:val="az-Latn-AZ"/>
        </w:rPr>
        <w:t xml:space="preserve">Kapital Bank ASC-nin Risk İştahası Bəyannaməsi (RİB) Azərbaycan Respublikası Mərkəzi Bankının normativ hüquqi aktlarına, Bankın uzunmüddətli biznes və inkişaf strategiyası və hədəflərinə, Bankın Risklərin İdarə edilməsi Strategiyasına, </w:t>
      </w:r>
      <w:r w:rsidR="00006961">
        <w:rPr>
          <w:rFonts w:ascii="Arial" w:hAnsi="Arial" w:cs="Arial"/>
          <w:lang w:val="az-Latn-AZ"/>
        </w:rPr>
        <w:t>Bankın “</w:t>
      </w:r>
      <w:r w:rsidRPr="00A43012">
        <w:rPr>
          <w:rFonts w:ascii="Arial" w:hAnsi="Arial" w:cs="Arial"/>
          <w:lang w:val="az-Latn-AZ"/>
        </w:rPr>
        <w:t>Təşkilati Risklərin İdarə Edilməsi Siyasəti</w:t>
      </w:r>
      <w:r w:rsidR="00006961">
        <w:rPr>
          <w:rFonts w:ascii="Arial" w:hAnsi="Arial" w:cs="Arial"/>
          <w:lang w:val="az-Latn-AZ"/>
        </w:rPr>
        <w:t>”</w:t>
      </w:r>
      <w:r w:rsidRPr="00A43012">
        <w:rPr>
          <w:rFonts w:ascii="Arial" w:hAnsi="Arial" w:cs="Arial"/>
          <w:lang w:val="az-Latn-AZ"/>
        </w:rPr>
        <w:t>nə, habelə</w:t>
      </w:r>
      <w:r w:rsidR="00006961">
        <w:rPr>
          <w:rFonts w:ascii="Arial" w:hAnsi="Arial" w:cs="Arial"/>
          <w:lang w:val="az-Latn-AZ"/>
        </w:rPr>
        <w:t xml:space="preserve"> Bankın kapital planlanmasına </w:t>
      </w:r>
      <w:r w:rsidRPr="00A43012">
        <w:rPr>
          <w:rFonts w:ascii="Arial" w:hAnsi="Arial" w:cs="Arial"/>
          <w:lang w:val="az-Latn-AZ"/>
        </w:rPr>
        <w:t>uyğun olaraq hazırlanmışdır.</w:t>
      </w:r>
    </w:p>
    <w:p w:rsidR="00737501" w:rsidRPr="00A43012" w:rsidRDefault="00737501" w:rsidP="00A43012">
      <w:pPr>
        <w:pStyle w:val="ListParagraph"/>
        <w:numPr>
          <w:ilvl w:val="1"/>
          <w:numId w:val="6"/>
        </w:numPr>
        <w:jc w:val="both"/>
        <w:rPr>
          <w:rFonts w:ascii="Arial" w:hAnsi="Arial" w:cs="Arial"/>
          <w:lang w:val="az-Latn-AZ"/>
        </w:rPr>
      </w:pPr>
      <w:r w:rsidRPr="00A43012">
        <w:rPr>
          <w:rFonts w:ascii="Arial" w:hAnsi="Arial" w:cs="Arial"/>
          <w:lang w:val="az-Latn-AZ"/>
        </w:rPr>
        <w:t>Bank qısa və uzunmüddətli dövrdə qoyduğu hədəflərə effektiv və səmərəli üsulla çatmağı əsas prinsiplərindən hesab edir. Bu məqsədlə o hədəflərinə</w:t>
      </w:r>
      <w:r w:rsidR="00DE7921">
        <w:rPr>
          <w:rFonts w:ascii="Arial" w:hAnsi="Arial" w:cs="Arial"/>
          <w:lang w:val="az-Latn-AZ"/>
        </w:rPr>
        <w:t xml:space="preserve"> risk i</w:t>
      </w:r>
      <w:r w:rsidRPr="00A43012">
        <w:rPr>
          <w:rFonts w:ascii="Arial" w:hAnsi="Arial" w:cs="Arial"/>
          <w:lang w:val="az-Latn-AZ"/>
        </w:rPr>
        <w:t>şta</w:t>
      </w:r>
      <w:r w:rsidR="00DE7921">
        <w:rPr>
          <w:rFonts w:ascii="Arial" w:hAnsi="Arial" w:cs="Arial"/>
          <w:lang w:val="az-Latn-AZ"/>
        </w:rPr>
        <w:t>hası ç</w:t>
      </w:r>
      <w:r w:rsidRPr="00A43012">
        <w:rPr>
          <w:rFonts w:ascii="Arial" w:hAnsi="Arial" w:cs="Arial"/>
          <w:lang w:val="az-Latn-AZ"/>
        </w:rPr>
        <w:t>ərçivəsində çatmaq məqsədi ilə</w:t>
      </w:r>
      <w:r w:rsidR="00DE7921">
        <w:rPr>
          <w:rFonts w:ascii="Arial" w:hAnsi="Arial" w:cs="Arial"/>
          <w:lang w:val="az-Latn-AZ"/>
        </w:rPr>
        <w:t>, t</w:t>
      </w:r>
      <w:r w:rsidRPr="00A43012">
        <w:rPr>
          <w:rFonts w:ascii="Arial" w:hAnsi="Arial" w:cs="Arial"/>
          <w:lang w:val="az-Latn-AZ"/>
        </w:rPr>
        <w:t>ə</w:t>
      </w:r>
      <w:r w:rsidR="00DE7921">
        <w:rPr>
          <w:rFonts w:ascii="Arial" w:hAnsi="Arial" w:cs="Arial"/>
          <w:lang w:val="az-Latn-AZ"/>
        </w:rPr>
        <w:t>şkilati r</w:t>
      </w:r>
      <w:r w:rsidRPr="00A43012">
        <w:rPr>
          <w:rFonts w:ascii="Arial" w:hAnsi="Arial" w:cs="Arial"/>
          <w:lang w:val="az-Latn-AZ"/>
        </w:rPr>
        <w:t>isklə</w:t>
      </w:r>
      <w:r w:rsidR="00DE7921">
        <w:rPr>
          <w:rFonts w:ascii="Arial" w:hAnsi="Arial" w:cs="Arial"/>
          <w:lang w:val="az-Latn-AZ"/>
        </w:rPr>
        <w:t>rin i</w:t>
      </w:r>
      <w:r w:rsidRPr="00A43012">
        <w:rPr>
          <w:rFonts w:ascii="Arial" w:hAnsi="Arial" w:cs="Arial"/>
          <w:lang w:val="az-Latn-AZ"/>
        </w:rPr>
        <w:t>darə</w:t>
      </w:r>
      <w:r w:rsidR="00DE7921">
        <w:rPr>
          <w:rFonts w:ascii="Arial" w:hAnsi="Arial" w:cs="Arial"/>
          <w:lang w:val="az-Latn-AZ"/>
        </w:rPr>
        <w:t xml:space="preserve"> e</w:t>
      </w:r>
      <w:r w:rsidRPr="00A43012">
        <w:rPr>
          <w:rFonts w:ascii="Arial" w:hAnsi="Arial" w:cs="Arial"/>
          <w:lang w:val="az-Latn-AZ"/>
        </w:rPr>
        <w:t>dilmə</w:t>
      </w:r>
      <w:r w:rsidR="00DE7921">
        <w:rPr>
          <w:rFonts w:ascii="Arial" w:hAnsi="Arial" w:cs="Arial"/>
          <w:lang w:val="az-Latn-AZ"/>
        </w:rPr>
        <w:t>si ç</w:t>
      </w:r>
      <w:r w:rsidRPr="00A43012">
        <w:rPr>
          <w:rFonts w:ascii="Arial" w:hAnsi="Arial" w:cs="Arial"/>
          <w:lang w:val="az-Latn-AZ"/>
        </w:rPr>
        <w:t>ərçivəsini formalaşdırır və</w:t>
      </w:r>
      <w:r w:rsidR="00DE7921">
        <w:rPr>
          <w:rFonts w:ascii="Arial" w:hAnsi="Arial" w:cs="Arial"/>
          <w:lang w:val="az-Latn-AZ"/>
        </w:rPr>
        <w:t xml:space="preserve"> risk m</w:t>
      </w:r>
      <w:r w:rsidRPr="00A43012">
        <w:rPr>
          <w:rFonts w:ascii="Arial" w:hAnsi="Arial" w:cs="Arial"/>
          <w:lang w:val="az-Latn-AZ"/>
        </w:rPr>
        <w:t>ədəniyyətini təşviq edir.</w:t>
      </w:r>
    </w:p>
    <w:p w:rsidR="00BC2FA9" w:rsidRDefault="00737501" w:rsidP="00FE7E4A">
      <w:pPr>
        <w:pStyle w:val="ListParagraph"/>
        <w:numPr>
          <w:ilvl w:val="1"/>
          <w:numId w:val="6"/>
        </w:numPr>
        <w:rPr>
          <w:rFonts w:ascii="Arial" w:hAnsi="Arial" w:cs="Arial"/>
          <w:lang w:val="az-Latn-AZ"/>
        </w:rPr>
      </w:pPr>
      <w:r w:rsidRPr="00A43012">
        <w:rPr>
          <w:rFonts w:ascii="Arial" w:hAnsi="Arial" w:cs="Arial"/>
          <w:lang w:val="az-Latn-AZ"/>
        </w:rPr>
        <w:t xml:space="preserve">Bankın Risk İştahası Bəyannaməsi Bankın strateji hədəflərinə uyğun olaraq </w:t>
      </w:r>
      <w:r w:rsidR="00FE7E4A">
        <w:rPr>
          <w:rFonts w:ascii="Arial" w:hAnsi="Arial" w:cs="Arial"/>
          <w:lang w:val="az-Latn-AZ"/>
        </w:rPr>
        <w:t>formalaşdırılır və uyğunlaşdırılır</w:t>
      </w:r>
      <w:r w:rsidRPr="00A43012">
        <w:rPr>
          <w:rFonts w:ascii="Arial" w:hAnsi="Arial" w:cs="Arial"/>
          <w:lang w:val="az-Latn-AZ"/>
        </w:rPr>
        <w:t>.</w:t>
      </w:r>
    </w:p>
    <w:p w:rsidR="00737501" w:rsidRPr="00A43012" w:rsidRDefault="002F2CEA" w:rsidP="00FE7E4A">
      <w:pPr>
        <w:pStyle w:val="ListParagraph"/>
        <w:numPr>
          <w:ilvl w:val="1"/>
          <w:numId w:val="6"/>
        </w:numPr>
        <w:rPr>
          <w:rFonts w:ascii="Arial" w:hAnsi="Arial" w:cs="Arial"/>
          <w:lang w:val="az-Latn-AZ"/>
        </w:rPr>
      </w:pPr>
      <w:r w:rsidRPr="00A43012">
        <w:rPr>
          <w:rFonts w:ascii="Arial" w:hAnsi="Arial" w:cs="Arial"/>
          <w:lang w:val="az-Latn-AZ"/>
        </w:rPr>
        <w:t>Bankın bütün məhsul, xidmət və proseslə</w:t>
      </w:r>
      <w:r w:rsidR="00D47B40">
        <w:rPr>
          <w:rFonts w:ascii="Arial" w:hAnsi="Arial" w:cs="Arial"/>
          <w:lang w:val="az-Latn-AZ"/>
        </w:rPr>
        <w:t>ri, habelə</w:t>
      </w:r>
      <w:r w:rsidRPr="00A43012">
        <w:rPr>
          <w:rFonts w:ascii="Arial" w:hAnsi="Arial" w:cs="Arial"/>
          <w:lang w:val="az-Latn-AZ"/>
        </w:rPr>
        <w:t xml:space="preserve"> fəaliyyət istiqamətləri bankın Risk İştahası nəzərə alınmaqla həyata keçirilir.</w:t>
      </w:r>
    </w:p>
    <w:p w:rsidR="002F2CEA" w:rsidRPr="00A43012" w:rsidRDefault="002F2CEA" w:rsidP="00A43012">
      <w:pPr>
        <w:pStyle w:val="ListParagraph"/>
        <w:numPr>
          <w:ilvl w:val="1"/>
          <w:numId w:val="6"/>
        </w:numPr>
        <w:jc w:val="both"/>
        <w:rPr>
          <w:rFonts w:ascii="Arial" w:hAnsi="Arial" w:cs="Arial"/>
          <w:lang w:val="az-Latn-AZ"/>
        </w:rPr>
      </w:pPr>
      <w:r w:rsidRPr="00A43012">
        <w:rPr>
          <w:rFonts w:ascii="Arial" w:hAnsi="Arial" w:cs="Arial"/>
          <w:lang w:val="az-Latn-AZ"/>
        </w:rPr>
        <w:t>Bank Risk İştahası limitlərini təyin edərkən ən azı aşağıdakı dəyərləri əsas götürür:</w:t>
      </w:r>
    </w:p>
    <w:p w:rsidR="002F2CEA" w:rsidRPr="00BD6574" w:rsidRDefault="002F2CEA" w:rsidP="002F2CEA">
      <w:pPr>
        <w:pStyle w:val="ListParagraph"/>
        <w:numPr>
          <w:ilvl w:val="0"/>
          <w:numId w:val="3"/>
        </w:numPr>
        <w:ind w:left="1843"/>
        <w:jc w:val="both"/>
        <w:rPr>
          <w:rFonts w:ascii="Arial" w:hAnsi="Arial" w:cs="Arial"/>
          <w:lang w:val="az-Latn-AZ"/>
        </w:rPr>
      </w:pPr>
      <w:r w:rsidRPr="00BD6574">
        <w:rPr>
          <w:rFonts w:ascii="Arial" w:hAnsi="Arial" w:cs="Arial"/>
          <w:lang w:val="az-Latn-AZ"/>
        </w:rPr>
        <w:t>Ən yüksək etik davranışların qorunub saxlanılması</w:t>
      </w:r>
      <w:r w:rsidR="00006961">
        <w:rPr>
          <w:rFonts w:ascii="Arial" w:hAnsi="Arial" w:cs="Arial"/>
          <w:lang w:val="az-Latn-AZ"/>
        </w:rPr>
        <w:t>;</w:t>
      </w:r>
    </w:p>
    <w:p w:rsidR="0078285C" w:rsidRPr="00BD6574" w:rsidRDefault="007C252F" w:rsidP="0078285C">
      <w:pPr>
        <w:pStyle w:val="ListParagraph"/>
        <w:numPr>
          <w:ilvl w:val="0"/>
          <w:numId w:val="3"/>
        </w:numPr>
        <w:ind w:left="1843"/>
        <w:jc w:val="both"/>
        <w:rPr>
          <w:rFonts w:ascii="Arial" w:hAnsi="Arial" w:cs="Arial"/>
          <w:lang w:val="az-Latn-AZ"/>
        </w:rPr>
      </w:pPr>
      <w:r w:rsidRPr="00BD6574">
        <w:rPr>
          <w:rFonts w:ascii="Arial" w:hAnsi="Arial" w:cs="Arial"/>
          <w:lang w:val="az-Latn-AZ"/>
        </w:rPr>
        <w:t>Bankın uzunmüddətli maliyyə dayanıqlılığının qorunması</w:t>
      </w:r>
      <w:r w:rsidR="00006961">
        <w:rPr>
          <w:rFonts w:ascii="Arial" w:hAnsi="Arial" w:cs="Arial"/>
          <w:lang w:val="az-Latn-AZ"/>
        </w:rPr>
        <w:t>;</w:t>
      </w:r>
    </w:p>
    <w:p w:rsidR="0078285C" w:rsidRPr="00BD6574" w:rsidRDefault="0078285C" w:rsidP="0078285C">
      <w:pPr>
        <w:pStyle w:val="ListParagraph"/>
        <w:numPr>
          <w:ilvl w:val="0"/>
          <w:numId w:val="3"/>
        </w:numPr>
        <w:ind w:left="1843"/>
        <w:jc w:val="both"/>
        <w:rPr>
          <w:rFonts w:ascii="Arial" w:hAnsi="Arial" w:cs="Arial"/>
          <w:lang w:val="az-Latn-AZ"/>
        </w:rPr>
      </w:pPr>
      <w:r w:rsidRPr="00BD6574">
        <w:rPr>
          <w:rFonts w:ascii="Arial" w:hAnsi="Arial" w:cs="Arial"/>
          <w:lang w:val="az-Latn-AZ"/>
        </w:rPr>
        <w:t>Şəffaf, vaxtında və hərtərəfli hes</w:t>
      </w:r>
      <w:r w:rsidR="00D47B40">
        <w:rPr>
          <w:rFonts w:ascii="Arial" w:hAnsi="Arial" w:cs="Arial"/>
          <w:lang w:val="az-Latn-AZ"/>
        </w:rPr>
        <w:t>a</w:t>
      </w:r>
      <w:r w:rsidRPr="00BD6574">
        <w:rPr>
          <w:rFonts w:ascii="Arial" w:hAnsi="Arial" w:cs="Arial"/>
          <w:lang w:val="az-Latn-AZ"/>
        </w:rPr>
        <w:t>batlığın təmin edilməsi</w:t>
      </w:r>
      <w:r w:rsidR="00006961">
        <w:rPr>
          <w:rFonts w:ascii="Arial" w:hAnsi="Arial" w:cs="Arial"/>
          <w:lang w:val="az-Latn-AZ"/>
        </w:rPr>
        <w:t>;</w:t>
      </w:r>
    </w:p>
    <w:p w:rsidR="007C252F" w:rsidRPr="00BD6574" w:rsidRDefault="0078285C" w:rsidP="0078285C">
      <w:pPr>
        <w:pStyle w:val="ListParagraph"/>
        <w:numPr>
          <w:ilvl w:val="0"/>
          <w:numId w:val="3"/>
        </w:numPr>
        <w:ind w:left="1843"/>
        <w:jc w:val="both"/>
        <w:rPr>
          <w:rFonts w:ascii="Arial" w:hAnsi="Arial" w:cs="Arial"/>
          <w:lang w:val="az-Latn-AZ"/>
        </w:rPr>
      </w:pPr>
      <w:r w:rsidRPr="00BD6574">
        <w:rPr>
          <w:rFonts w:ascii="Arial" w:hAnsi="Arial" w:cs="Arial"/>
          <w:lang w:val="az-Latn-AZ"/>
        </w:rPr>
        <w:t>Yerli və beynəlxalq q</w:t>
      </w:r>
      <w:r w:rsidR="00F92431" w:rsidRPr="00BD6574">
        <w:rPr>
          <w:rFonts w:ascii="Arial" w:hAnsi="Arial" w:cs="Arial"/>
          <w:lang w:val="az-Latn-AZ"/>
        </w:rPr>
        <w:t>ayda və qanunlarla, norma və standartlarla uyğunluğun qorunması</w:t>
      </w:r>
      <w:r w:rsidR="00006961">
        <w:rPr>
          <w:rFonts w:ascii="Arial" w:hAnsi="Arial" w:cs="Arial"/>
          <w:lang w:val="az-Latn-AZ"/>
        </w:rPr>
        <w:t>;</w:t>
      </w:r>
    </w:p>
    <w:p w:rsidR="00BD6574" w:rsidRPr="00BD6574" w:rsidRDefault="00BD6574" w:rsidP="00BD6574">
      <w:pPr>
        <w:pStyle w:val="ListParagraph"/>
        <w:numPr>
          <w:ilvl w:val="0"/>
          <w:numId w:val="3"/>
        </w:numPr>
        <w:spacing w:line="254" w:lineRule="auto"/>
        <w:ind w:left="1843"/>
        <w:jc w:val="both"/>
        <w:rPr>
          <w:rFonts w:ascii="Arial" w:hAnsi="Arial" w:cs="Arial"/>
          <w:lang w:val="az-Latn-AZ"/>
        </w:rPr>
      </w:pPr>
      <w:r w:rsidRPr="00BD6574">
        <w:rPr>
          <w:rFonts w:ascii="Arial" w:hAnsi="Arial" w:cs="Arial"/>
          <w:lang w:val="az-Latn-AZ"/>
        </w:rPr>
        <w:t>Biznesin davamlılığının təmin edilməsi</w:t>
      </w:r>
      <w:r w:rsidR="00006961">
        <w:rPr>
          <w:rFonts w:ascii="Arial" w:hAnsi="Arial" w:cs="Arial"/>
          <w:lang w:val="az-Latn-AZ"/>
        </w:rPr>
        <w:t>;</w:t>
      </w:r>
    </w:p>
    <w:p w:rsidR="00A36E22" w:rsidRDefault="00F92431" w:rsidP="00DA18C6">
      <w:pPr>
        <w:pStyle w:val="ListParagraph"/>
        <w:numPr>
          <w:ilvl w:val="0"/>
          <w:numId w:val="3"/>
        </w:numPr>
        <w:ind w:left="1843"/>
        <w:jc w:val="both"/>
        <w:rPr>
          <w:rFonts w:ascii="Arial" w:hAnsi="Arial" w:cs="Arial"/>
          <w:lang w:val="az-Latn-AZ"/>
        </w:rPr>
      </w:pPr>
      <w:r w:rsidRPr="00BD6574">
        <w:rPr>
          <w:rFonts w:ascii="Arial" w:hAnsi="Arial" w:cs="Arial"/>
          <w:lang w:val="az-Latn-AZ"/>
        </w:rPr>
        <w:t>Güclü risk mədəniyyəti və nəzarət mühitinin təşviqi</w:t>
      </w:r>
      <w:r w:rsidR="00006961">
        <w:rPr>
          <w:rFonts w:ascii="Arial" w:hAnsi="Arial" w:cs="Arial"/>
          <w:lang w:val="az-Latn-AZ"/>
        </w:rPr>
        <w:t>.</w:t>
      </w:r>
    </w:p>
    <w:p w:rsidR="00737501" w:rsidRDefault="00F92431" w:rsidP="00D47B40">
      <w:pPr>
        <w:pStyle w:val="ListParagraph"/>
        <w:numPr>
          <w:ilvl w:val="1"/>
          <w:numId w:val="6"/>
        </w:numPr>
        <w:rPr>
          <w:rFonts w:ascii="Arial" w:hAnsi="Arial" w:cs="Arial"/>
          <w:lang w:val="az-Latn-AZ"/>
        </w:rPr>
      </w:pPr>
      <w:r w:rsidRPr="00BD6574">
        <w:rPr>
          <w:rFonts w:ascii="Arial" w:hAnsi="Arial" w:cs="Arial"/>
          <w:lang w:val="az-Latn-AZ"/>
        </w:rPr>
        <w:t>Bankın Risk İştahası kəmiyyət və keyfiyyət</w:t>
      </w:r>
      <w:r w:rsidR="00D47B40">
        <w:rPr>
          <w:rFonts w:ascii="Arial" w:hAnsi="Arial" w:cs="Arial"/>
          <w:lang w:val="az-Latn-AZ"/>
        </w:rPr>
        <w:t>, maliyyə və qeyri-maliyyə</w:t>
      </w:r>
      <w:r w:rsidRPr="00BD6574">
        <w:rPr>
          <w:rFonts w:ascii="Arial" w:hAnsi="Arial" w:cs="Arial"/>
          <w:lang w:val="az-Latn-AZ"/>
        </w:rPr>
        <w:t xml:space="preserve"> üzrə</w:t>
      </w:r>
      <w:r w:rsidR="00D47B40">
        <w:rPr>
          <w:rFonts w:ascii="Arial" w:hAnsi="Arial" w:cs="Arial"/>
          <w:lang w:val="az-Latn-AZ"/>
        </w:rPr>
        <w:t xml:space="preserve"> </w:t>
      </w:r>
      <w:r w:rsidR="00BD6574" w:rsidRPr="00BD6574">
        <w:rPr>
          <w:rFonts w:ascii="Arial" w:hAnsi="Arial" w:cs="Arial"/>
          <w:lang w:val="az-Latn-AZ"/>
        </w:rPr>
        <w:t>göstəricilərdən</w:t>
      </w:r>
      <w:r w:rsidRPr="00BD6574">
        <w:rPr>
          <w:rFonts w:ascii="Arial" w:hAnsi="Arial" w:cs="Arial"/>
          <w:lang w:val="az-Latn-AZ"/>
        </w:rPr>
        <w:t xml:space="preserve"> ibarət olur.</w:t>
      </w:r>
    </w:p>
    <w:p w:rsidR="00006961" w:rsidRPr="00006961" w:rsidRDefault="00006961" w:rsidP="00006961">
      <w:pPr>
        <w:pStyle w:val="ListParagraph"/>
        <w:ind w:left="1080"/>
        <w:jc w:val="both"/>
        <w:rPr>
          <w:rFonts w:ascii="Arial" w:hAnsi="Arial" w:cs="Arial"/>
          <w:lang w:val="az-Latn-AZ"/>
        </w:rPr>
      </w:pPr>
    </w:p>
    <w:p w:rsidR="008609E1" w:rsidRPr="00A43012" w:rsidRDefault="008609E1" w:rsidP="00A43012">
      <w:pPr>
        <w:pStyle w:val="ListParagraph"/>
        <w:numPr>
          <w:ilvl w:val="0"/>
          <w:numId w:val="6"/>
        </w:numPr>
        <w:jc w:val="center"/>
        <w:rPr>
          <w:rFonts w:ascii="Arial" w:hAnsi="Arial" w:cs="Arial"/>
          <w:b/>
          <w:lang w:val="az-Latn-AZ"/>
        </w:rPr>
      </w:pPr>
      <w:r w:rsidRPr="00A43012">
        <w:rPr>
          <w:rFonts w:ascii="Arial" w:hAnsi="Arial" w:cs="Arial"/>
          <w:b/>
          <w:lang w:val="az-Latn-AZ"/>
        </w:rPr>
        <w:t xml:space="preserve">Risk İştahası Bəyannaməsi üzrə </w:t>
      </w:r>
      <w:r w:rsidR="005A732E" w:rsidRPr="00A43012">
        <w:rPr>
          <w:rFonts w:ascii="Arial" w:hAnsi="Arial" w:cs="Arial"/>
          <w:b/>
          <w:lang w:val="az-Latn-AZ"/>
        </w:rPr>
        <w:t>A</w:t>
      </w:r>
      <w:r w:rsidRPr="00A43012">
        <w:rPr>
          <w:rFonts w:ascii="Arial" w:hAnsi="Arial" w:cs="Arial"/>
          <w:b/>
          <w:lang w:val="az-Latn-AZ"/>
        </w:rPr>
        <w:t>çıqlamalar</w:t>
      </w:r>
    </w:p>
    <w:p w:rsidR="00A43012" w:rsidRDefault="00A43012" w:rsidP="00A43012">
      <w:pPr>
        <w:pStyle w:val="ListParagraph"/>
        <w:ind w:left="1080"/>
        <w:jc w:val="both"/>
        <w:rPr>
          <w:rFonts w:ascii="Arial" w:hAnsi="Arial" w:cs="Arial"/>
          <w:b/>
          <w:lang w:val="az-Latn-AZ"/>
        </w:rPr>
      </w:pPr>
    </w:p>
    <w:p w:rsidR="00F11317" w:rsidRPr="00A43012" w:rsidRDefault="00F11317" w:rsidP="00A43012">
      <w:pPr>
        <w:pStyle w:val="ListParagraph"/>
        <w:numPr>
          <w:ilvl w:val="1"/>
          <w:numId w:val="6"/>
        </w:numPr>
        <w:jc w:val="both"/>
        <w:rPr>
          <w:rFonts w:ascii="Arial" w:hAnsi="Arial" w:cs="Arial"/>
          <w:b/>
          <w:lang w:val="az-Latn-AZ"/>
        </w:rPr>
      </w:pPr>
      <w:r w:rsidRPr="00A43012">
        <w:rPr>
          <w:rFonts w:ascii="Arial" w:hAnsi="Arial" w:cs="Arial"/>
          <w:b/>
          <w:lang w:val="az-Latn-AZ"/>
        </w:rPr>
        <w:t>Maliyyə</w:t>
      </w:r>
      <w:r w:rsidR="00A43012">
        <w:rPr>
          <w:rFonts w:ascii="Arial" w:hAnsi="Arial" w:cs="Arial"/>
          <w:b/>
          <w:lang w:val="az-Latn-AZ"/>
        </w:rPr>
        <w:t xml:space="preserve"> riskləri</w:t>
      </w:r>
    </w:p>
    <w:p w:rsidR="00A43012" w:rsidRPr="00A43012" w:rsidRDefault="00A43012" w:rsidP="00A43012">
      <w:pPr>
        <w:pStyle w:val="ListParagraph"/>
        <w:numPr>
          <w:ilvl w:val="2"/>
          <w:numId w:val="6"/>
        </w:numPr>
        <w:jc w:val="both"/>
        <w:rPr>
          <w:rFonts w:ascii="Arial" w:hAnsi="Arial" w:cs="Arial"/>
          <w:lang w:val="az-Latn-AZ"/>
        </w:rPr>
      </w:pPr>
      <w:r>
        <w:rPr>
          <w:rFonts w:ascii="Arial" w:hAnsi="Arial" w:cs="Arial"/>
          <w:b/>
          <w:lang w:val="az-Latn-AZ"/>
        </w:rPr>
        <w:t>Kredit riski</w:t>
      </w:r>
    </w:p>
    <w:p w:rsidR="00F11317" w:rsidRPr="00A43012" w:rsidRDefault="00F22078" w:rsidP="00A43012">
      <w:pPr>
        <w:pStyle w:val="ListParagraph"/>
        <w:ind w:left="1080"/>
        <w:jc w:val="both"/>
        <w:rPr>
          <w:rFonts w:ascii="Arial" w:hAnsi="Arial" w:cs="Arial"/>
          <w:lang w:val="az-Latn-AZ"/>
        </w:rPr>
      </w:pPr>
      <w:r w:rsidRPr="00A43012">
        <w:rPr>
          <w:rFonts w:ascii="Arial" w:hAnsi="Arial" w:cs="Arial"/>
          <w:lang w:val="az-Latn-AZ"/>
        </w:rPr>
        <w:t>Bank borcalanın və ya qarşı tərəfin müqavilə öhdəliklərini yerinə yetirməməsi ehtimalından yaranan risklərə qarşı</w:t>
      </w:r>
      <w:r w:rsidR="00EF2176" w:rsidRPr="00A43012">
        <w:rPr>
          <w:rFonts w:ascii="Arial" w:hAnsi="Arial" w:cs="Arial"/>
          <w:lang w:val="az-Latn-AZ"/>
        </w:rPr>
        <w:t xml:space="preserve"> aşağı tolerantlıq </w:t>
      </w:r>
      <w:r w:rsidR="00557FD8">
        <w:rPr>
          <w:rFonts w:ascii="Arial" w:hAnsi="Arial" w:cs="Arial"/>
          <w:lang w:val="az-Latn-AZ"/>
        </w:rPr>
        <w:t>tətbiq edir</w:t>
      </w:r>
      <w:r w:rsidR="00EF2176" w:rsidRPr="00A43012">
        <w:rPr>
          <w:rFonts w:ascii="Arial" w:hAnsi="Arial" w:cs="Arial"/>
          <w:lang w:val="az-Latn-AZ"/>
        </w:rPr>
        <w:t>.</w:t>
      </w:r>
    </w:p>
    <w:p w:rsidR="00A43012" w:rsidRPr="00A43012" w:rsidRDefault="00A43012" w:rsidP="00A43012">
      <w:pPr>
        <w:pStyle w:val="ListParagraph"/>
        <w:numPr>
          <w:ilvl w:val="2"/>
          <w:numId w:val="6"/>
        </w:numPr>
        <w:jc w:val="both"/>
        <w:rPr>
          <w:rFonts w:ascii="Arial" w:hAnsi="Arial" w:cs="Arial"/>
          <w:lang w:val="az-Latn-AZ"/>
        </w:rPr>
      </w:pPr>
      <w:r>
        <w:rPr>
          <w:rFonts w:ascii="Arial" w:hAnsi="Arial" w:cs="Arial"/>
          <w:b/>
          <w:lang w:val="az-Latn-AZ"/>
        </w:rPr>
        <w:t>Konsentrasiya riski</w:t>
      </w:r>
    </w:p>
    <w:p w:rsidR="003D1A17" w:rsidRPr="00A43012" w:rsidRDefault="003D1A17" w:rsidP="00A43012">
      <w:pPr>
        <w:pStyle w:val="ListParagraph"/>
        <w:ind w:left="1080"/>
        <w:jc w:val="both"/>
        <w:rPr>
          <w:rFonts w:ascii="Arial" w:hAnsi="Arial" w:cs="Arial"/>
          <w:lang w:val="az-Latn-AZ"/>
        </w:rPr>
      </w:pPr>
      <w:r w:rsidRPr="00A43012">
        <w:rPr>
          <w:rFonts w:ascii="Arial" w:hAnsi="Arial" w:cs="Arial"/>
          <w:lang w:val="az-Latn-AZ"/>
        </w:rPr>
        <w:t xml:space="preserve">Bank əsas qarşı tərəflərə və qarşı tərəf qruplarına, iqtisadiyyatın sektorlarına və ya coğrafi bölgələrə nisbətdə borcun qeyri-bərabər paylanması ilə əlaqədar yarana biləcək zərər riskinə qarşı aşağı tolerantlıq </w:t>
      </w:r>
      <w:r w:rsidR="00557FD8">
        <w:rPr>
          <w:rFonts w:ascii="Arial" w:hAnsi="Arial" w:cs="Arial"/>
          <w:lang w:val="az-Latn-AZ"/>
        </w:rPr>
        <w:t>tətbiq edir</w:t>
      </w:r>
      <w:r w:rsidRPr="00A43012">
        <w:rPr>
          <w:rFonts w:ascii="Arial" w:hAnsi="Arial" w:cs="Arial"/>
          <w:lang w:val="az-Latn-AZ"/>
        </w:rPr>
        <w:t>.</w:t>
      </w:r>
    </w:p>
    <w:p w:rsidR="00A43012" w:rsidRPr="00A43012" w:rsidRDefault="00FA5D4D" w:rsidP="00A43012">
      <w:pPr>
        <w:pStyle w:val="ListParagraph"/>
        <w:numPr>
          <w:ilvl w:val="2"/>
          <w:numId w:val="6"/>
        </w:numPr>
        <w:jc w:val="both"/>
        <w:rPr>
          <w:rFonts w:ascii="Arial" w:hAnsi="Arial" w:cs="Arial"/>
          <w:lang w:val="az-Latn-AZ"/>
        </w:rPr>
      </w:pPr>
      <w:r w:rsidRPr="00A43012">
        <w:rPr>
          <w:rFonts w:ascii="Arial" w:hAnsi="Arial" w:cs="Arial"/>
          <w:b/>
          <w:lang w:val="az-Latn-AZ"/>
        </w:rPr>
        <w:t>Kapital adekvatlığı riski</w:t>
      </w:r>
    </w:p>
    <w:p w:rsidR="00E41934" w:rsidRPr="00A43012" w:rsidRDefault="005A732E" w:rsidP="00A43012">
      <w:pPr>
        <w:pStyle w:val="ListParagraph"/>
        <w:ind w:left="1080"/>
        <w:jc w:val="both"/>
        <w:rPr>
          <w:rFonts w:ascii="Arial" w:hAnsi="Arial" w:cs="Arial"/>
          <w:lang w:val="az-Latn-AZ"/>
        </w:rPr>
      </w:pPr>
      <w:r w:rsidRPr="00A43012">
        <w:rPr>
          <w:rFonts w:ascii="Arial" w:hAnsi="Arial" w:cs="Arial"/>
          <w:lang w:val="az-Latn-AZ"/>
        </w:rPr>
        <w:t xml:space="preserve">Bankın uzunmüddətli dövrdə öz öhdəliklərini ödəyə bilməməsi </w:t>
      </w:r>
      <w:r w:rsidR="00D47B40">
        <w:rPr>
          <w:rFonts w:ascii="Arial" w:hAnsi="Arial" w:cs="Arial"/>
          <w:lang w:val="az-Latn-AZ"/>
        </w:rPr>
        <w:t xml:space="preserve">habelə requlyatorun təyin etdiyi limit tələblərinin pozulması </w:t>
      </w:r>
      <w:r w:rsidRPr="00A43012">
        <w:rPr>
          <w:rFonts w:ascii="Arial" w:hAnsi="Arial" w:cs="Arial"/>
          <w:lang w:val="az-Latn-AZ"/>
        </w:rPr>
        <w:t>riskinə qarşı yüksək həssalıq göstərir və aşağı tolerantlıq tətbiq edir</w:t>
      </w:r>
      <w:r w:rsidR="00C443AF">
        <w:rPr>
          <w:rFonts w:ascii="Arial" w:hAnsi="Arial" w:cs="Arial"/>
          <w:lang w:val="az-Latn-AZ"/>
        </w:rPr>
        <w:t>.</w:t>
      </w:r>
    </w:p>
    <w:p w:rsidR="00A43012" w:rsidRPr="00A43012" w:rsidRDefault="00A43012" w:rsidP="00A43012">
      <w:pPr>
        <w:pStyle w:val="ListParagraph"/>
        <w:numPr>
          <w:ilvl w:val="2"/>
          <w:numId w:val="6"/>
        </w:numPr>
        <w:jc w:val="both"/>
        <w:rPr>
          <w:rFonts w:ascii="Arial" w:hAnsi="Arial" w:cs="Arial"/>
          <w:b/>
          <w:lang w:val="az-Latn-AZ"/>
        </w:rPr>
      </w:pPr>
      <w:r w:rsidRPr="00A43012">
        <w:rPr>
          <w:rFonts w:ascii="Arial" w:hAnsi="Arial" w:cs="Arial"/>
          <w:b/>
          <w:lang w:val="az-Latn-AZ"/>
        </w:rPr>
        <w:t>Bazar riski</w:t>
      </w:r>
    </w:p>
    <w:p w:rsidR="00F22078" w:rsidRPr="00A43012" w:rsidRDefault="00F22078" w:rsidP="00A43012">
      <w:pPr>
        <w:pStyle w:val="ListParagraph"/>
        <w:ind w:left="1080"/>
        <w:jc w:val="both"/>
        <w:rPr>
          <w:rFonts w:ascii="Arial" w:hAnsi="Arial" w:cs="Arial"/>
          <w:lang w:val="az-Latn-AZ"/>
        </w:rPr>
      </w:pPr>
      <w:r w:rsidRPr="00A43012">
        <w:rPr>
          <w:rFonts w:ascii="Arial" w:hAnsi="Arial" w:cs="Arial"/>
          <w:lang w:val="az-Latn-AZ"/>
        </w:rPr>
        <w:t xml:space="preserve">Bank səhm qiymətli kağızlarının və istehsal maliyyə alətlərinin dəyərindəki əlverişsiz dəyişikliklər, </w:t>
      </w:r>
      <w:r w:rsidRPr="00A43012">
        <w:rPr>
          <w:rFonts w:ascii="Arial" w:eastAsia="Times" w:hAnsi="Arial" w:cs="Arial"/>
          <w:lang w:val="az-Latn-AZ"/>
        </w:rPr>
        <w:t>xarici valyuta məzənnələrinin dəyişməsi</w:t>
      </w:r>
      <w:r w:rsidRPr="00A43012">
        <w:rPr>
          <w:rFonts w:ascii="Arial" w:hAnsi="Arial" w:cs="Arial"/>
          <w:lang w:val="az-Latn-AZ"/>
        </w:rPr>
        <w:t xml:space="preserve">, əmtəə qiymətlərində mənfi dəyişikliklər, </w:t>
      </w:r>
      <w:r w:rsidRPr="00A43012">
        <w:rPr>
          <w:rFonts w:ascii="Arial" w:eastAsia="Times" w:hAnsi="Arial" w:cs="Arial"/>
          <w:lang w:val="az-Latn-AZ"/>
        </w:rPr>
        <w:t xml:space="preserve">bazarda faiz dərəcələrinin dəyişməsi nəticəsində qiymətli kağızların və </w:t>
      </w:r>
      <w:r w:rsidRPr="00A43012">
        <w:rPr>
          <w:rFonts w:ascii="Arial" w:eastAsia="Times" w:hAnsi="Arial" w:cs="Arial"/>
          <w:lang w:val="az-Latn-AZ"/>
        </w:rPr>
        <w:lastRenderedPageBreak/>
        <w:t xml:space="preserve">istehsal maliyyə alətlərinin cari dəyərinin əlverişsiz dəyişməsi ilə əlaqədar yarana biləcək risklərə həssaslıq və aşağı tolerantlıq </w:t>
      </w:r>
      <w:r w:rsidR="00AF5619">
        <w:rPr>
          <w:rFonts w:ascii="Arial" w:eastAsia="Times" w:hAnsi="Arial" w:cs="Arial"/>
          <w:lang w:val="az-Latn-AZ"/>
        </w:rPr>
        <w:t>tətbiq edir</w:t>
      </w:r>
      <w:r w:rsidRPr="00A43012">
        <w:rPr>
          <w:rFonts w:ascii="Arial" w:eastAsia="Times" w:hAnsi="Arial" w:cs="Arial"/>
          <w:lang w:val="az-Latn-AZ"/>
        </w:rPr>
        <w:t>.</w:t>
      </w:r>
    </w:p>
    <w:p w:rsidR="00A43012" w:rsidRDefault="00FA5D4D" w:rsidP="00A43012">
      <w:pPr>
        <w:pStyle w:val="ListParagraph"/>
        <w:numPr>
          <w:ilvl w:val="2"/>
          <w:numId w:val="6"/>
        </w:numPr>
        <w:jc w:val="both"/>
        <w:rPr>
          <w:rFonts w:ascii="Arial" w:hAnsi="Arial" w:cs="Arial"/>
          <w:lang w:val="az-Latn-AZ"/>
        </w:rPr>
      </w:pPr>
      <w:r w:rsidRPr="00A43012">
        <w:rPr>
          <w:rFonts w:ascii="Arial" w:hAnsi="Arial" w:cs="Arial"/>
          <w:b/>
          <w:lang w:val="az-Latn-AZ"/>
        </w:rPr>
        <w:t>Likvidlik riski:</w:t>
      </w:r>
    </w:p>
    <w:p w:rsidR="00FA5D4D" w:rsidRPr="00BC2FA9" w:rsidRDefault="00A43012" w:rsidP="00BC2FA9">
      <w:pPr>
        <w:pStyle w:val="ListParagraph"/>
        <w:ind w:left="1080"/>
        <w:jc w:val="both"/>
        <w:rPr>
          <w:rFonts w:ascii="Arial" w:hAnsi="Arial" w:cs="Arial"/>
          <w:lang w:val="az-Latn-AZ"/>
        </w:rPr>
      </w:pPr>
      <w:r>
        <w:rPr>
          <w:rFonts w:ascii="Arial" w:hAnsi="Arial" w:cs="Arial"/>
          <w:lang w:val="az-Latn-AZ"/>
        </w:rPr>
        <w:t>B</w:t>
      </w:r>
      <w:r w:rsidR="003D1A17" w:rsidRPr="00A43012">
        <w:rPr>
          <w:rFonts w:ascii="Arial" w:hAnsi="Arial" w:cs="Arial"/>
          <w:lang w:val="az-Latn-AZ"/>
        </w:rPr>
        <w:t>ank t</w:t>
      </w:r>
      <w:r w:rsidR="00F22078" w:rsidRPr="00A43012">
        <w:rPr>
          <w:rFonts w:ascii="Arial" w:hAnsi="Arial" w:cs="Arial"/>
          <w:lang w:val="az-Latn-AZ"/>
        </w:rPr>
        <w:t>ələbin qeyri-kafi olması ilə əlaqədar, aktivlərinin bazarda arzuolunan/gözlənilən qiymətə sata bilməməklə bağlı yarana biləcək zərər riskinə qarşı yüksək həssaslıq göstərir</w:t>
      </w:r>
      <w:r w:rsidR="00557FD8">
        <w:rPr>
          <w:rFonts w:ascii="Arial" w:hAnsi="Arial" w:cs="Arial"/>
          <w:lang w:val="az-Latn-AZ"/>
        </w:rPr>
        <w:t xml:space="preserve"> və aşağı tolerantlıq tətbiq edir</w:t>
      </w:r>
      <w:r w:rsidR="00F22078" w:rsidRPr="00A43012">
        <w:rPr>
          <w:rFonts w:ascii="Arial" w:hAnsi="Arial" w:cs="Arial"/>
          <w:lang w:val="az-Latn-AZ"/>
        </w:rPr>
        <w:t>.</w:t>
      </w:r>
      <w:r w:rsidR="00B2582A">
        <w:rPr>
          <w:rFonts w:ascii="Arial" w:hAnsi="Arial" w:cs="Arial"/>
          <w:lang w:val="az-Latn-AZ"/>
        </w:rPr>
        <w:t xml:space="preserve"> </w:t>
      </w:r>
      <w:r w:rsidR="00B2582A" w:rsidRPr="00BC2FA9">
        <w:rPr>
          <w:rFonts w:ascii="Arial" w:hAnsi="Arial" w:cs="Arial"/>
          <w:lang w:val="az-Latn-AZ"/>
        </w:rPr>
        <w:t>Bank əməliyyat və likvidlik mövqeyi</w:t>
      </w:r>
      <w:r w:rsidR="00A36E22" w:rsidRPr="00BC2FA9">
        <w:rPr>
          <w:rFonts w:ascii="Arial" w:hAnsi="Arial" w:cs="Arial"/>
          <w:lang w:val="az-Latn-AZ"/>
        </w:rPr>
        <w:t>nin bazarda mövcud olan stress mühitində</w:t>
      </w:r>
      <w:r w:rsidR="00AF5619" w:rsidRPr="00BC2FA9">
        <w:rPr>
          <w:rFonts w:ascii="Arial" w:hAnsi="Arial" w:cs="Arial"/>
          <w:lang w:val="az-Latn-AZ"/>
        </w:rPr>
        <w:t xml:space="preserve"> qorunması </w:t>
      </w:r>
      <w:r w:rsidR="00A36E22" w:rsidRPr="00BC2FA9">
        <w:rPr>
          <w:rFonts w:ascii="Arial" w:hAnsi="Arial" w:cs="Arial"/>
          <w:lang w:val="az-Latn-AZ"/>
        </w:rPr>
        <w:t>məqsədilə</w:t>
      </w:r>
      <w:r w:rsidR="00B2582A" w:rsidRPr="00BC2FA9">
        <w:rPr>
          <w:rFonts w:ascii="Arial" w:hAnsi="Arial" w:cs="Arial"/>
          <w:lang w:val="az-Latn-AZ"/>
        </w:rPr>
        <w:t xml:space="preserve"> yüksək-keyfiyyətli aktivlə</w:t>
      </w:r>
      <w:r w:rsidR="00A36E22" w:rsidRPr="00BC2FA9">
        <w:rPr>
          <w:rFonts w:ascii="Arial" w:hAnsi="Arial" w:cs="Arial"/>
          <w:lang w:val="az-Latn-AZ"/>
        </w:rPr>
        <w:t xml:space="preserve">rdən ibarət </w:t>
      </w:r>
      <w:r w:rsidR="00AF5619" w:rsidRPr="00BC2FA9">
        <w:rPr>
          <w:rFonts w:ascii="Arial" w:hAnsi="Arial" w:cs="Arial"/>
          <w:lang w:val="az-Latn-AZ"/>
        </w:rPr>
        <w:t>likvidlik portfelini qoruyub saxlayır</w:t>
      </w:r>
      <w:r w:rsidR="00A36E22" w:rsidRPr="00BC2FA9">
        <w:rPr>
          <w:rFonts w:ascii="Arial" w:hAnsi="Arial" w:cs="Arial"/>
          <w:lang w:val="az-Latn-AZ"/>
        </w:rPr>
        <w:t>.</w:t>
      </w:r>
    </w:p>
    <w:p w:rsidR="00A43012" w:rsidRPr="00A43012" w:rsidRDefault="00A43012" w:rsidP="00A43012">
      <w:pPr>
        <w:pStyle w:val="ListParagraph"/>
        <w:ind w:left="1080"/>
        <w:jc w:val="both"/>
        <w:rPr>
          <w:rFonts w:ascii="Arial" w:hAnsi="Arial" w:cs="Arial"/>
          <w:lang w:val="az-Latn-AZ"/>
        </w:rPr>
      </w:pPr>
    </w:p>
    <w:p w:rsidR="00F11317" w:rsidRPr="00A43012" w:rsidRDefault="00F11317" w:rsidP="00A43012">
      <w:pPr>
        <w:pStyle w:val="ListParagraph"/>
        <w:numPr>
          <w:ilvl w:val="1"/>
          <w:numId w:val="6"/>
        </w:numPr>
        <w:jc w:val="both"/>
        <w:rPr>
          <w:rFonts w:ascii="Arial" w:hAnsi="Arial" w:cs="Arial"/>
          <w:b/>
          <w:lang w:val="az-Latn-AZ"/>
        </w:rPr>
      </w:pPr>
      <w:r w:rsidRPr="00A43012">
        <w:rPr>
          <w:rFonts w:ascii="Arial" w:hAnsi="Arial" w:cs="Arial"/>
          <w:b/>
          <w:lang w:val="az-Latn-AZ"/>
        </w:rPr>
        <w:t>Qeyri-maliyyə risk</w:t>
      </w:r>
      <w:r w:rsidR="00A36E22">
        <w:rPr>
          <w:rFonts w:ascii="Arial" w:hAnsi="Arial" w:cs="Arial"/>
          <w:b/>
          <w:lang w:val="az-Latn-AZ"/>
        </w:rPr>
        <w:t>lər</w:t>
      </w:r>
      <w:r w:rsidRPr="00A43012">
        <w:rPr>
          <w:rFonts w:ascii="Arial" w:hAnsi="Arial" w:cs="Arial"/>
          <w:b/>
          <w:lang w:val="az-Latn-AZ"/>
        </w:rPr>
        <w:t>i:</w:t>
      </w:r>
    </w:p>
    <w:p w:rsidR="00A43012" w:rsidRPr="00A43012" w:rsidRDefault="00A43012" w:rsidP="00A43012">
      <w:pPr>
        <w:pStyle w:val="ListParagraph"/>
        <w:numPr>
          <w:ilvl w:val="2"/>
          <w:numId w:val="6"/>
        </w:numPr>
        <w:jc w:val="both"/>
        <w:rPr>
          <w:rFonts w:ascii="Arial" w:hAnsi="Arial" w:cs="Arial"/>
          <w:lang w:val="az-Latn-AZ"/>
        </w:rPr>
      </w:pPr>
      <w:r>
        <w:rPr>
          <w:rFonts w:ascii="Arial" w:hAnsi="Arial" w:cs="Arial"/>
          <w:b/>
          <w:lang w:val="az-Latn-AZ"/>
        </w:rPr>
        <w:t>Komplayens riski</w:t>
      </w:r>
    </w:p>
    <w:p w:rsidR="00A43012" w:rsidRDefault="0054778E" w:rsidP="00A43012">
      <w:pPr>
        <w:pStyle w:val="ListParagraph"/>
        <w:ind w:left="1080"/>
        <w:jc w:val="both"/>
        <w:rPr>
          <w:rFonts w:ascii="Arial" w:hAnsi="Arial" w:cs="Arial"/>
          <w:lang w:val="az-Latn-AZ"/>
        </w:rPr>
      </w:pPr>
      <w:r w:rsidRPr="00BD6574">
        <w:rPr>
          <w:rFonts w:ascii="Arial" w:hAnsi="Arial" w:cs="Arial"/>
          <w:lang w:val="az-Latn-AZ"/>
        </w:rPr>
        <w:t>Bank</w:t>
      </w:r>
      <w:r w:rsidR="00531E56" w:rsidRPr="00BD6574">
        <w:rPr>
          <w:rFonts w:ascii="Arial" w:hAnsi="Arial" w:cs="Arial"/>
          <w:lang w:val="az-Latn-AZ"/>
        </w:rPr>
        <w:t xml:space="preserve"> beynəlxalq və yerli prudensial normativ tələblərin pozulmasına,</w:t>
      </w:r>
      <w:r w:rsidRPr="00BD6574">
        <w:rPr>
          <w:rFonts w:ascii="Arial" w:hAnsi="Arial" w:cs="Arial"/>
          <w:lang w:val="az-Latn-AZ"/>
        </w:rPr>
        <w:t xml:space="preserve"> </w:t>
      </w:r>
      <w:r w:rsidR="00BD6574">
        <w:rPr>
          <w:rFonts w:ascii="Arial" w:hAnsi="Arial" w:cs="Arial"/>
          <w:lang w:val="az-Latn-AZ"/>
        </w:rPr>
        <w:t xml:space="preserve">istehlakçı hüquqlarının </w:t>
      </w:r>
      <w:r w:rsidR="00E3180A">
        <w:rPr>
          <w:rFonts w:ascii="Arial" w:hAnsi="Arial" w:cs="Arial"/>
          <w:lang w:val="az-Latn-AZ"/>
        </w:rPr>
        <w:t>pozulmasına</w:t>
      </w:r>
      <w:r w:rsidR="00BD6574">
        <w:rPr>
          <w:rFonts w:ascii="Arial" w:hAnsi="Arial" w:cs="Arial"/>
          <w:lang w:val="az-Latn-AZ"/>
        </w:rPr>
        <w:t>,</w:t>
      </w:r>
      <w:r w:rsidR="00A43012">
        <w:rPr>
          <w:rFonts w:ascii="Arial" w:hAnsi="Arial" w:cs="Arial"/>
          <w:lang w:val="az-Latn-AZ"/>
        </w:rPr>
        <w:t xml:space="preserve"> sosial-ekoloji </w:t>
      </w:r>
      <w:r w:rsidR="00AF5619">
        <w:rPr>
          <w:rFonts w:ascii="Arial" w:hAnsi="Arial" w:cs="Arial"/>
          <w:lang w:val="az-Latn-AZ"/>
        </w:rPr>
        <w:t>tələb və</w:t>
      </w:r>
      <w:r w:rsidR="00E3180A">
        <w:rPr>
          <w:rFonts w:ascii="Arial" w:hAnsi="Arial" w:cs="Arial"/>
          <w:lang w:val="az-Latn-AZ"/>
        </w:rPr>
        <w:t xml:space="preserve"> standartlardan kənarlaşmalara</w:t>
      </w:r>
      <w:r w:rsidR="00E40434">
        <w:rPr>
          <w:rFonts w:ascii="Arial" w:hAnsi="Arial" w:cs="Arial"/>
          <w:lang w:val="az-Latn-AZ"/>
        </w:rPr>
        <w:t xml:space="preserve">, </w:t>
      </w:r>
      <w:r w:rsidRPr="00BD6574">
        <w:rPr>
          <w:rFonts w:ascii="Arial" w:hAnsi="Arial" w:cs="Arial"/>
          <w:lang w:val="az-Latn-AZ"/>
        </w:rPr>
        <w:t xml:space="preserve">yüksək önəmli komplayens </w:t>
      </w:r>
      <w:r w:rsidR="00E40434">
        <w:rPr>
          <w:rFonts w:ascii="Arial" w:hAnsi="Arial" w:cs="Arial"/>
          <w:lang w:val="az-Latn-AZ"/>
        </w:rPr>
        <w:t>tələblərin</w:t>
      </w:r>
      <w:r w:rsidR="00E3180A">
        <w:rPr>
          <w:rFonts w:ascii="Arial" w:hAnsi="Arial" w:cs="Arial"/>
          <w:lang w:val="az-Latn-AZ"/>
        </w:rPr>
        <w:t xml:space="preserve">in </w:t>
      </w:r>
      <w:r w:rsidR="00A43012">
        <w:rPr>
          <w:rFonts w:ascii="Arial" w:hAnsi="Arial" w:cs="Arial"/>
          <w:lang w:val="az-Latn-AZ"/>
        </w:rPr>
        <w:t>- çirkli pulların yuyulması (ə</w:t>
      </w:r>
      <w:r w:rsidRPr="00BD6574">
        <w:rPr>
          <w:rFonts w:ascii="Arial" w:hAnsi="Arial" w:cs="Arial"/>
          <w:lang w:val="az-Latn-AZ"/>
        </w:rPr>
        <w:t xml:space="preserve">mlakın leqallaşdırılması) və </w:t>
      </w:r>
      <w:r w:rsidR="00A43012">
        <w:rPr>
          <w:rFonts w:ascii="Arial" w:hAnsi="Arial" w:cs="Arial"/>
          <w:lang w:val="az-Latn-AZ"/>
        </w:rPr>
        <w:t xml:space="preserve">ya </w:t>
      </w:r>
      <w:r w:rsidRPr="00BD6574">
        <w:rPr>
          <w:rFonts w:ascii="Arial" w:hAnsi="Arial" w:cs="Arial"/>
          <w:lang w:val="az-Latn-AZ"/>
        </w:rPr>
        <w:t>terrorizmin maliyyələşdirilməsi, anonim və saxta adlarla hesabların açılması</w:t>
      </w:r>
      <w:r w:rsidR="00F11317" w:rsidRPr="00BD6574">
        <w:rPr>
          <w:rFonts w:ascii="Arial" w:hAnsi="Arial" w:cs="Arial"/>
          <w:lang w:val="az-Latn-AZ"/>
        </w:rPr>
        <w:t>na tolerantlıq göstərmir.</w:t>
      </w:r>
    </w:p>
    <w:p w:rsidR="00A43012" w:rsidRDefault="00A43012" w:rsidP="00A43012">
      <w:pPr>
        <w:pStyle w:val="ListParagraph"/>
        <w:numPr>
          <w:ilvl w:val="2"/>
          <w:numId w:val="6"/>
        </w:numPr>
        <w:jc w:val="both"/>
        <w:rPr>
          <w:rFonts w:ascii="Arial" w:hAnsi="Arial" w:cs="Arial"/>
          <w:lang w:val="az-Latn-AZ"/>
        </w:rPr>
      </w:pPr>
      <w:r>
        <w:rPr>
          <w:rFonts w:ascii="Arial" w:hAnsi="Arial" w:cs="Arial"/>
          <w:b/>
          <w:lang w:val="az-Latn-AZ"/>
        </w:rPr>
        <w:t>Etik Davranış riski</w:t>
      </w:r>
    </w:p>
    <w:p w:rsidR="00A43012" w:rsidRDefault="00F11317" w:rsidP="00A43012">
      <w:pPr>
        <w:pStyle w:val="ListParagraph"/>
        <w:ind w:left="1080"/>
        <w:jc w:val="both"/>
        <w:rPr>
          <w:rFonts w:ascii="Arial" w:hAnsi="Arial" w:cs="Arial"/>
          <w:lang w:val="az-Latn-AZ"/>
        </w:rPr>
      </w:pPr>
      <w:r w:rsidRPr="00A43012">
        <w:rPr>
          <w:rFonts w:ascii="Arial" w:hAnsi="Arial" w:cs="Arial"/>
          <w:lang w:val="az-Latn-AZ"/>
        </w:rPr>
        <w:t>Bank korporativ etik normaların və dəyərlərin pozulmasına</w:t>
      </w:r>
      <w:r w:rsidR="00E41934" w:rsidRPr="00A43012">
        <w:rPr>
          <w:rFonts w:ascii="Arial" w:hAnsi="Arial" w:cs="Arial"/>
          <w:lang w:val="az-Latn-AZ"/>
        </w:rPr>
        <w:t>, daxili dələduzluq hallarının baş verməsi, habelə korrupsiya və rüşvətxorluq riskinə</w:t>
      </w:r>
      <w:r w:rsidR="00BD6574" w:rsidRPr="00A43012">
        <w:rPr>
          <w:rFonts w:ascii="Arial" w:hAnsi="Arial" w:cs="Arial"/>
          <w:lang w:val="az-Latn-AZ"/>
        </w:rPr>
        <w:t xml:space="preserve"> qarşı</w:t>
      </w:r>
      <w:r w:rsidRPr="00A43012">
        <w:rPr>
          <w:rFonts w:ascii="Arial" w:hAnsi="Arial" w:cs="Arial"/>
          <w:lang w:val="az-Latn-AZ"/>
        </w:rPr>
        <w:t xml:space="preserve"> tolerantlıq göstərmir</w:t>
      </w:r>
      <w:r w:rsidR="00FA5D4D" w:rsidRPr="00A43012">
        <w:rPr>
          <w:rFonts w:ascii="Arial" w:hAnsi="Arial" w:cs="Arial"/>
          <w:lang w:val="az-Latn-AZ"/>
        </w:rPr>
        <w:t xml:space="preserve"> </w:t>
      </w:r>
      <w:r w:rsidR="00E41934" w:rsidRPr="00A43012">
        <w:rPr>
          <w:rFonts w:ascii="Arial" w:hAnsi="Arial" w:cs="Arial"/>
          <w:lang w:val="az-Latn-AZ"/>
        </w:rPr>
        <w:t xml:space="preserve">və baş verə biləcək bütün halları Davranış </w:t>
      </w:r>
      <w:r w:rsidR="003D1A17" w:rsidRPr="00A43012">
        <w:rPr>
          <w:rFonts w:ascii="Arial" w:hAnsi="Arial" w:cs="Arial"/>
          <w:lang w:val="az-Latn-AZ"/>
        </w:rPr>
        <w:t>Kodeksinin</w:t>
      </w:r>
      <w:r w:rsidR="00E41934" w:rsidRPr="00A43012">
        <w:rPr>
          <w:rFonts w:ascii="Arial" w:hAnsi="Arial" w:cs="Arial"/>
          <w:lang w:val="az-Latn-AZ"/>
        </w:rPr>
        <w:t xml:space="preserve"> pozulması olaraq dəyərləndirir.</w:t>
      </w:r>
    </w:p>
    <w:p w:rsidR="00A43012" w:rsidRDefault="00F11317" w:rsidP="00A43012">
      <w:pPr>
        <w:pStyle w:val="ListParagraph"/>
        <w:numPr>
          <w:ilvl w:val="2"/>
          <w:numId w:val="6"/>
        </w:numPr>
        <w:jc w:val="both"/>
        <w:rPr>
          <w:rFonts w:ascii="Arial" w:hAnsi="Arial" w:cs="Arial"/>
          <w:lang w:val="az-Latn-AZ"/>
        </w:rPr>
      </w:pPr>
      <w:r w:rsidRPr="00A43012">
        <w:rPr>
          <w:rFonts w:ascii="Arial" w:hAnsi="Arial" w:cs="Arial"/>
          <w:b/>
          <w:lang w:val="az-Latn-AZ"/>
        </w:rPr>
        <w:t>Model ris</w:t>
      </w:r>
      <w:r w:rsidR="00A43012">
        <w:rPr>
          <w:rFonts w:ascii="Arial" w:hAnsi="Arial" w:cs="Arial"/>
          <w:b/>
          <w:lang w:val="az-Latn-AZ"/>
        </w:rPr>
        <w:t>ki</w:t>
      </w:r>
    </w:p>
    <w:p w:rsidR="00A43012" w:rsidRDefault="00F11317" w:rsidP="00A43012">
      <w:pPr>
        <w:pStyle w:val="ListParagraph"/>
        <w:ind w:left="1080"/>
        <w:jc w:val="both"/>
        <w:rPr>
          <w:rFonts w:ascii="Arial" w:hAnsi="Arial" w:cs="Arial"/>
          <w:lang w:val="az-Latn-AZ"/>
        </w:rPr>
      </w:pPr>
      <w:r w:rsidRPr="00A43012">
        <w:rPr>
          <w:rFonts w:ascii="Arial" w:hAnsi="Arial" w:cs="Arial"/>
          <w:lang w:val="az-Latn-AZ"/>
        </w:rPr>
        <w:t>Bank</w:t>
      </w:r>
      <w:r w:rsidR="00695650">
        <w:rPr>
          <w:rFonts w:ascii="Arial" w:hAnsi="Arial" w:cs="Arial"/>
          <w:lang w:val="az-Latn-AZ"/>
        </w:rPr>
        <w:t xml:space="preserve"> biznes qərarlarının verilməsində və Bank fəaliyyətinin təmin edilməsində</w:t>
      </w:r>
      <w:r w:rsidRPr="00A43012">
        <w:rPr>
          <w:rFonts w:ascii="Arial" w:hAnsi="Arial" w:cs="Arial"/>
          <w:lang w:val="az-Latn-AZ"/>
        </w:rPr>
        <w:t xml:space="preserve"> əhəmiyyətli hesab etdiyi </w:t>
      </w:r>
      <w:r w:rsidR="00531E56" w:rsidRPr="00A43012">
        <w:rPr>
          <w:rFonts w:ascii="Arial" w:hAnsi="Arial" w:cs="Arial"/>
          <w:lang w:val="az-Latn-AZ"/>
        </w:rPr>
        <w:t>modellərinin adekvatlığı ilə bağlı</w:t>
      </w:r>
      <w:r w:rsidRPr="00A43012">
        <w:rPr>
          <w:rFonts w:ascii="Arial" w:hAnsi="Arial" w:cs="Arial"/>
          <w:lang w:val="az-Latn-AZ"/>
        </w:rPr>
        <w:t xml:space="preserve"> tolerantlıq göstərmir</w:t>
      </w:r>
      <w:r w:rsidR="00695650">
        <w:rPr>
          <w:rFonts w:ascii="Arial" w:hAnsi="Arial" w:cs="Arial"/>
          <w:lang w:val="az-Latn-AZ"/>
        </w:rPr>
        <w:t xml:space="preserve"> və bu risklə</w:t>
      </w:r>
      <w:r w:rsidR="00BC2FA9">
        <w:rPr>
          <w:rFonts w:ascii="Arial" w:hAnsi="Arial" w:cs="Arial"/>
          <w:lang w:val="az-Latn-AZ"/>
        </w:rPr>
        <w:t xml:space="preserve">ri idarə etmək </w:t>
      </w:r>
      <w:r w:rsidR="00695650">
        <w:rPr>
          <w:rFonts w:ascii="Arial" w:hAnsi="Arial" w:cs="Arial"/>
          <w:lang w:val="az-Latn-AZ"/>
        </w:rPr>
        <w:t>üçün modellərin daxili və kənar qiymətləndiricilər tərəfindən validasiyasını təmin edir.</w:t>
      </w:r>
    </w:p>
    <w:p w:rsidR="00A43012" w:rsidRDefault="00FA5D4D" w:rsidP="00A43012">
      <w:pPr>
        <w:pStyle w:val="ListParagraph"/>
        <w:numPr>
          <w:ilvl w:val="2"/>
          <w:numId w:val="6"/>
        </w:numPr>
        <w:jc w:val="both"/>
        <w:rPr>
          <w:rFonts w:ascii="Arial" w:hAnsi="Arial" w:cs="Arial"/>
          <w:lang w:val="az-Latn-AZ"/>
        </w:rPr>
      </w:pPr>
      <w:r w:rsidRPr="00A43012">
        <w:rPr>
          <w:rFonts w:ascii="Arial" w:hAnsi="Arial" w:cs="Arial"/>
          <w:b/>
          <w:lang w:val="az-Latn-AZ"/>
        </w:rPr>
        <w:t>Əmə</w:t>
      </w:r>
      <w:r w:rsidR="00A43012">
        <w:rPr>
          <w:rFonts w:ascii="Arial" w:hAnsi="Arial" w:cs="Arial"/>
          <w:b/>
          <w:lang w:val="az-Latn-AZ"/>
        </w:rPr>
        <w:t>liyyat riski</w:t>
      </w:r>
    </w:p>
    <w:p w:rsidR="00A43012" w:rsidRPr="009E468E" w:rsidRDefault="00FA5D4D" w:rsidP="00A43012">
      <w:pPr>
        <w:pStyle w:val="ListParagraph"/>
        <w:ind w:left="1080"/>
        <w:jc w:val="both"/>
        <w:rPr>
          <w:rFonts w:ascii="Arial" w:hAnsi="Arial" w:cs="Arial"/>
          <w:lang w:val="az-Latn-AZ"/>
        </w:rPr>
      </w:pPr>
      <w:r w:rsidRPr="00A43012">
        <w:rPr>
          <w:rFonts w:ascii="Arial" w:hAnsi="Arial" w:cs="Arial"/>
          <w:lang w:val="az-Latn-AZ"/>
        </w:rPr>
        <w:t xml:space="preserve">Bank </w:t>
      </w:r>
      <w:r w:rsidR="009E468E">
        <w:rPr>
          <w:rFonts w:ascii="Arial" w:hAnsi="Arial" w:cs="Arial"/>
          <w:lang w:val="az-Latn-AZ"/>
        </w:rPr>
        <w:t>q</w:t>
      </w:r>
      <w:r w:rsidR="009E468E" w:rsidRPr="009E468E">
        <w:rPr>
          <w:rFonts w:ascii="Arial" w:hAnsi="Arial" w:cs="Arial"/>
          <w:lang w:val="az-Latn-AZ"/>
        </w:rPr>
        <w:t>eyri-adekvat və ya uğursuz daxili proseslər</w:t>
      </w:r>
      <w:r w:rsidR="009E468E">
        <w:rPr>
          <w:rFonts w:ascii="Arial" w:hAnsi="Arial" w:cs="Arial"/>
          <w:lang w:val="az-Latn-AZ"/>
        </w:rPr>
        <w:t>dən</w:t>
      </w:r>
      <w:r w:rsidR="009E468E" w:rsidRPr="009E468E">
        <w:rPr>
          <w:rFonts w:ascii="Arial" w:hAnsi="Arial" w:cs="Arial"/>
          <w:lang w:val="az-Latn-AZ"/>
        </w:rPr>
        <w:t>, insanlar və sistemlər</w:t>
      </w:r>
      <w:r w:rsidR="009E468E">
        <w:rPr>
          <w:rFonts w:ascii="Arial" w:hAnsi="Arial" w:cs="Arial"/>
          <w:lang w:val="az-Latn-AZ"/>
        </w:rPr>
        <w:t>dən</w:t>
      </w:r>
      <w:r w:rsidR="009E468E" w:rsidRPr="009E468E">
        <w:rPr>
          <w:rFonts w:ascii="Arial" w:hAnsi="Arial" w:cs="Arial"/>
          <w:lang w:val="az-Latn-AZ"/>
        </w:rPr>
        <w:t xml:space="preserve"> və ya kənar hadisələ</w:t>
      </w:r>
      <w:r w:rsidR="009E468E">
        <w:rPr>
          <w:rFonts w:ascii="Arial" w:hAnsi="Arial" w:cs="Arial"/>
          <w:lang w:val="az-Latn-AZ"/>
        </w:rPr>
        <w:t>rdən yarana biləcək</w:t>
      </w:r>
      <w:r w:rsidR="009E468E" w:rsidRPr="009E468E">
        <w:rPr>
          <w:rFonts w:ascii="Arial" w:hAnsi="Arial" w:cs="Arial"/>
          <w:lang w:val="az-Latn-AZ"/>
        </w:rPr>
        <w:t xml:space="preserve"> zərər riski </w:t>
      </w:r>
      <w:r w:rsidRPr="00A43012">
        <w:rPr>
          <w:rFonts w:ascii="Arial" w:hAnsi="Arial" w:cs="Arial"/>
          <w:lang w:val="az-Latn-AZ"/>
        </w:rPr>
        <w:t>yüksək həssaslıq göstərir və aşağı tolerantlıqla yanaşır</w:t>
      </w:r>
      <w:r w:rsidRPr="00A43012">
        <w:rPr>
          <w:rFonts w:ascii="Arial" w:hAnsi="Arial" w:cs="Arial"/>
          <w:i/>
          <w:lang w:val="az-Latn-AZ"/>
        </w:rPr>
        <w:t>.</w:t>
      </w:r>
      <w:r w:rsidR="009E468E">
        <w:rPr>
          <w:rFonts w:ascii="Arial" w:hAnsi="Arial" w:cs="Arial"/>
          <w:i/>
          <w:lang w:val="az-Latn-AZ"/>
        </w:rPr>
        <w:t xml:space="preserve"> </w:t>
      </w:r>
      <w:r w:rsidR="009E468E">
        <w:rPr>
          <w:rFonts w:ascii="Arial" w:hAnsi="Arial" w:cs="Arial"/>
          <w:lang w:val="az-Latn-AZ"/>
        </w:rPr>
        <w:t>Bu riskin minimallaşdırılması ilə əlaqədar Bank gücləndirilmiş və səlahiyyətləndirilmiş müdafiə xətlərindən istifadə edir, nəzarət mühitini gücləndirir</w:t>
      </w:r>
      <w:r w:rsidR="00695650">
        <w:rPr>
          <w:rFonts w:ascii="Arial" w:hAnsi="Arial" w:cs="Arial"/>
          <w:lang w:val="az-Latn-AZ"/>
        </w:rPr>
        <w:t>, daxili siyasət, qayda və prosedurlar müəyyən edir və proseslərini avtomatlaşdıraraq riski minimuma endirir.</w:t>
      </w:r>
    </w:p>
    <w:p w:rsidR="00A43012" w:rsidRDefault="00FA5D4D" w:rsidP="00A43012">
      <w:pPr>
        <w:pStyle w:val="ListParagraph"/>
        <w:numPr>
          <w:ilvl w:val="2"/>
          <w:numId w:val="6"/>
        </w:numPr>
        <w:jc w:val="both"/>
        <w:rPr>
          <w:rFonts w:ascii="Arial" w:hAnsi="Arial" w:cs="Arial"/>
          <w:lang w:val="az-Latn-AZ"/>
        </w:rPr>
      </w:pPr>
      <w:r w:rsidRPr="00A43012">
        <w:rPr>
          <w:rFonts w:ascii="Arial" w:hAnsi="Arial" w:cs="Arial"/>
          <w:b/>
          <w:lang w:val="az-Latn-AZ"/>
        </w:rPr>
        <w:t>İnformasiya Sistemləri</w:t>
      </w:r>
      <w:r w:rsidR="00EF2176" w:rsidRPr="00A43012">
        <w:rPr>
          <w:rFonts w:ascii="Arial" w:hAnsi="Arial" w:cs="Arial"/>
          <w:b/>
          <w:lang w:val="az-Latn-AZ"/>
        </w:rPr>
        <w:t xml:space="preserve"> riski</w:t>
      </w:r>
    </w:p>
    <w:p w:rsidR="00A43012" w:rsidRDefault="00FA5D4D" w:rsidP="00A43012">
      <w:pPr>
        <w:pStyle w:val="ListParagraph"/>
        <w:ind w:left="1080"/>
        <w:jc w:val="both"/>
        <w:rPr>
          <w:rFonts w:ascii="Arial" w:hAnsi="Arial" w:cs="Arial"/>
          <w:lang w:val="az-Latn-AZ"/>
        </w:rPr>
      </w:pPr>
      <w:r w:rsidRPr="00A43012">
        <w:rPr>
          <w:rFonts w:ascii="Arial" w:hAnsi="Arial" w:cs="Arial"/>
          <w:lang w:val="az-Latn-AZ"/>
        </w:rPr>
        <w:t>Bank kritik biznes funksiyalarının davamlılığının təmin edilməsində iştirak edən sistemlərin əlçatanlığında yarana biləcək risklər üzrə çox yüksək həssaslıq göstə</w:t>
      </w:r>
      <w:r w:rsidR="00C443AF">
        <w:rPr>
          <w:rFonts w:ascii="Arial" w:hAnsi="Arial" w:cs="Arial"/>
          <w:lang w:val="az-Latn-AZ"/>
        </w:rPr>
        <w:t>rir</w:t>
      </w:r>
      <w:r w:rsidRPr="00A43012">
        <w:rPr>
          <w:rFonts w:ascii="Arial" w:hAnsi="Arial" w:cs="Arial"/>
          <w:lang w:val="az-Latn-AZ"/>
        </w:rPr>
        <w:t>.</w:t>
      </w:r>
      <w:r w:rsidR="00A36E22">
        <w:rPr>
          <w:rFonts w:ascii="Arial" w:hAnsi="Arial" w:cs="Arial"/>
          <w:lang w:val="az-Latn-AZ"/>
        </w:rPr>
        <w:t xml:space="preserve"> Bu risklərin minimallaşdırılması məqsədilə Bank keyfiyyətin yaxşılaşdırılması üzrə davamlı yenilənmələr, təkmilləşdirmələr həyata keçirir və sistemlərin testləşdirilməsi vasitəsilə yoxlamalar icra edir.</w:t>
      </w:r>
    </w:p>
    <w:p w:rsidR="00A43012" w:rsidRDefault="00EF2176" w:rsidP="00A43012">
      <w:pPr>
        <w:pStyle w:val="ListParagraph"/>
        <w:numPr>
          <w:ilvl w:val="2"/>
          <w:numId w:val="6"/>
        </w:numPr>
        <w:jc w:val="both"/>
        <w:rPr>
          <w:rFonts w:ascii="Arial" w:hAnsi="Arial" w:cs="Arial"/>
          <w:lang w:val="az-Latn-AZ"/>
        </w:rPr>
      </w:pPr>
      <w:r w:rsidRPr="00A43012">
        <w:rPr>
          <w:rFonts w:ascii="Arial" w:hAnsi="Arial" w:cs="Arial"/>
          <w:b/>
          <w:lang w:val="az-Latn-AZ"/>
        </w:rPr>
        <w:t>İnformasiya Təhlükəsizliyi və Kiber riski</w:t>
      </w:r>
      <w:r w:rsidRPr="00A43012">
        <w:rPr>
          <w:rFonts w:ascii="Arial" w:hAnsi="Arial" w:cs="Arial"/>
          <w:lang w:val="az-Latn-AZ"/>
        </w:rPr>
        <w:t xml:space="preserve"> </w:t>
      </w:r>
    </w:p>
    <w:p w:rsidR="00A43012" w:rsidRPr="002D3175" w:rsidRDefault="002D3175" w:rsidP="002D3175">
      <w:pPr>
        <w:pStyle w:val="ListParagraph"/>
        <w:ind w:left="1080"/>
        <w:jc w:val="both"/>
        <w:rPr>
          <w:rFonts w:ascii="Arial" w:hAnsi="Arial" w:cs="Arial"/>
          <w:lang w:val="az-Latn-AZ"/>
        </w:rPr>
      </w:pPr>
      <w:r w:rsidRPr="002D3175">
        <w:rPr>
          <w:rFonts w:ascii="Arial" w:hAnsi="Arial" w:cs="Arial"/>
          <w:lang w:val="az-Latn-AZ"/>
        </w:rPr>
        <w:t>Bank kənar hücumlar və müdaxilələr nəticəsində baş verə biləcək Bank sirrinin itirilməsi, müştəri aktivlərinin, məlumatlarının oğurlanması və digər əlaqəli xoşagəlməz hallara səbəb ola biləcək insidentlərə qarşı yüksək səviyyədə həssaslıq göstərir və bu kimi halların qarşısının alınması üçün beynəlxalq praktikalara əsaslanmaqla gücləndirilmiş nəzarət mexanizmləri tətbiq edir, geniş və mütəmadi test sınaqları aparır və informasiya təhlükəsizliyi üzrə yerli və beynəlxalq requlyativ tələblərə uyğunluğu təmin edərək daima öz proseslə</w:t>
      </w:r>
      <w:r>
        <w:rPr>
          <w:rFonts w:ascii="Arial" w:hAnsi="Arial" w:cs="Arial"/>
          <w:lang w:val="az-Latn-AZ"/>
        </w:rPr>
        <w:t>rini inkişaf etdirir</w:t>
      </w:r>
      <w:r w:rsidR="00EF2176" w:rsidRPr="002D3175">
        <w:rPr>
          <w:rFonts w:ascii="Arial" w:hAnsi="Arial" w:cs="Arial"/>
          <w:lang w:val="az-Latn-AZ"/>
        </w:rPr>
        <w:t>.</w:t>
      </w:r>
    </w:p>
    <w:p w:rsidR="00A43012" w:rsidRPr="00A43012" w:rsidRDefault="00A43012" w:rsidP="00A43012">
      <w:pPr>
        <w:pStyle w:val="ListParagraph"/>
        <w:numPr>
          <w:ilvl w:val="2"/>
          <w:numId w:val="6"/>
        </w:numPr>
        <w:jc w:val="both"/>
        <w:rPr>
          <w:rFonts w:ascii="Arial" w:hAnsi="Arial" w:cs="Arial"/>
          <w:b/>
          <w:lang w:val="az-Latn-AZ"/>
        </w:rPr>
      </w:pPr>
      <w:r>
        <w:rPr>
          <w:rFonts w:ascii="Arial" w:hAnsi="Arial" w:cs="Arial"/>
          <w:b/>
          <w:lang w:val="az-Latn-AZ"/>
        </w:rPr>
        <w:t>Nüfuz riski</w:t>
      </w:r>
    </w:p>
    <w:p w:rsidR="00A43012" w:rsidRDefault="00A36E22" w:rsidP="00A43012">
      <w:pPr>
        <w:pStyle w:val="ListParagraph"/>
        <w:ind w:left="1080"/>
        <w:jc w:val="both"/>
        <w:rPr>
          <w:rFonts w:ascii="Arial" w:hAnsi="Arial" w:cs="Arial"/>
          <w:lang w:val="az-Latn-AZ"/>
        </w:rPr>
      </w:pPr>
      <w:r>
        <w:rPr>
          <w:rFonts w:ascii="Arial" w:hAnsi="Arial" w:cs="Arial"/>
          <w:lang w:val="az-Latn-AZ"/>
        </w:rPr>
        <w:lastRenderedPageBreak/>
        <w:t>Bank</w:t>
      </w:r>
      <w:r w:rsidR="004D6F7F">
        <w:rPr>
          <w:rFonts w:ascii="Arial" w:hAnsi="Arial" w:cs="Arial"/>
          <w:lang w:val="az-Latn-AZ"/>
        </w:rPr>
        <w:t xml:space="preserve"> </w:t>
      </w:r>
      <w:r w:rsidR="00557FD8">
        <w:rPr>
          <w:rFonts w:ascii="Arial" w:hAnsi="Arial" w:cs="Arial"/>
          <w:lang w:val="az-Latn-AZ"/>
        </w:rPr>
        <w:t>müştərilər, qarşı tərəflər, par</w:t>
      </w:r>
      <w:r w:rsidR="006A7C30">
        <w:rPr>
          <w:rFonts w:ascii="Arial" w:hAnsi="Arial" w:cs="Arial"/>
          <w:lang w:val="az-Latn-AZ"/>
        </w:rPr>
        <w:t>t</w:t>
      </w:r>
      <w:r w:rsidR="00557FD8">
        <w:rPr>
          <w:rFonts w:ascii="Arial" w:hAnsi="Arial" w:cs="Arial"/>
          <w:lang w:val="az-Latn-AZ"/>
        </w:rPr>
        <w:t>nyorlar</w:t>
      </w:r>
      <w:r w:rsidR="004D0425">
        <w:rPr>
          <w:rFonts w:ascii="Arial" w:hAnsi="Arial" w:cs="Arial"/>
          <w:lang w:val="az-Latn-AZ"/>
        </w:rPr>
        <w:t>, investorlar</w:t>
      </w:r>
      <w:r w:rsidR="00557FD8">
        <w:rPr>
          <w:rFonts w:ascii="Arial" w:hAnsi="Arial" w:cs="Arial"/>
          <w:lang w:val="az-Latn-AZ"/>
        </w:rPr>
        <w:t xml:space="preserve"> və digər maraqlı tərəflər arasında ona qarşı yarana biləcək mənfi fikirlərə, həmçinin  Bankın nüfuz və imicinə xələl gətirə biləcək </w:t>
      </w:r>
      <w:r w:rsidR="004D6F7F">
        <w:rPr>
          <w:rFonts w:ascii="Arial" w:hAnsi="Arial" w:cs="Arial"/>
          <w:lang w:val="az-Latn-AZ"/>
        </w:rPr>
        <w:t xml:space="preserve">hallara </w:t>
      </w:r>
      <w:r w:rsidR="00F22078" w:rsidRPr="00A43012">
        <w:rPr>
          <w:rFonts w:ascii="Arial" w:hAnsi="Arial" w:cs="Arial"/>
          <w:lang w:val="az-Latn-AZ"/>
        </w:rPr>
        <w:t>qarşı yüksək həssaslıq göstərir</w:t>
      </w:r>
      <w:r w:rsidR="00557FD8">
        <w:rPr>
          <w:rFonts w:ascii="Arial" w:hAnsi="Arial" w:cs="Arial"/>
          <w:lang w:val="az-Latn-AZ"/>
        </w:rPr>
        <w:t xml:space="preserve"> və aşağı tolerantlıq tətbiq edir. Habelə, Bank b</w:t>
      </w:r>
      <w:r w:rsidR="00C635D5">
        <w:rPr>
          <w:rFonts w:ascii="Arial" w:hAnsi="Arial" w:cs="Arial"/>
          <w:lang w:val="az-Latn-AZ"/>
        </w:rPr>
        <w:t xml:space="preserve">u </w:t>
      </w:r>
      <w:r w:rsidR="004D6F7F">
        <w:rPr>
          <w:rFonts w:ascii="Arial" w:hAnsi="Arial" w:cs="Arial"/>
          <w:lang w:val="az-Latn-AZ"/>
        </w:rPr>
        <w:t>riski</w:t>
      </w:r>
      <w:r w:rsidR="00C635D5">
        <w:rPr>
          <w:rFonts w:ascii="Arial" w:hAnsi="Arial" w:cs="Arial"/>
          <w:lang w:val="az-Latn-AZ"/>
        </w:rPr>
        <w:t xml:space="preserve"> yarada biləcək amilləri KİV və sosial mediada yayılmış xəbərlər, </w:t>
      </w:r>
      <w:r w:rsidR="00557FD8">
        <w:rPr>
          <w:rFonts w:ascii="Arial" w:hAnsi="Arial" w:cs="Arial"/>
          <w:lang w:val="az-Latn-AZ"/>
        </w:rPr>
        <w:t>müştəri şikayətləri və s. kimi alətlərlə</w:t>
      </w:r>
      <w:r w:rsidR="00C635D5">
        <w:rPr>
          <w:rFonts w:ascii="Arial" w:hAnsi="Arial" w:cs="Arial"/>
          <w:lang w:val="az-Latn-AZ"/>
        </w:rPr>
        <w:t xml:space="preserve"> izləyir, </w:t>
      </w:r>
      <w:r w:rsidR="00721886">
        <w:rPr>
          <w:rFonts w:ascii="Arial" w:hAnsi="Arial" w:cs="Arial"/>
          <w:lang w:val="az-Latn-AZ"/>
        </w:rPr>
        <w:t xml:space="preserve">onları </w:t>
      </w:r>
      <w:r w:rsidR="00C635D5">
        <w:rPr>
          <w:rFonts w:ascii="Arial" w:hAnsi="Arial" w:cs="Arial"/>
          <w:lang w:val="az-Latn-AZ"/>
        </w:rPr>
        <w:t xml:space="preserve">araşdırır və </w:t>
      </w:r>
      <w:r w:rsidR="00721886">
        <w:rPr>
          <w:rFonts w:ascii="Arial" w:hAnsi="Arial" w:cs="Arial"/>
          <w:lang w:val="az-Latn-AZ"/>
        </w:rPr>
        <w:t xml:space="preserve">bu </w:t>
      </w:r>
      <w:r w:rsidR="004D6F7F">
        <w:rPr>
          <w:rFonts w:ascii="Arial" w:hAnsi="Arial" w:cs="Arial"/>
          <w:lang w:val="az-Latn-AZ"/>
        </w:rPr>
        <w:t>halları</w:t>
      </w:r>
      <w:r w:rsidR="00721886">
        <w:rPr>
          <w:rFonts w:ascii="Arial" w:hAnsi="Arial" w:cs="Arial"/>
          <w:lang w:val="az-Latn-AZ"/>
        </w:rPr>
        <w:t xml:space="preserve"> yaradan </w:t>
      </w:r>
      <w:r w:rsidR="00C635D5">
        <w:rPr>
          <w:rFonts w:ascii="Arial" w:hAnsi="Arial" w:cs="Arial"/>
          <w:lang w:val="az-Latn-AZ"/>
        </w:rPr>
        <w:t>kök səbəb</w:t>
      </w:r>
      <w:r w:rsidR="00721886">
        <w:rPr>
          <w:rFonts w:ascii="Arial" w:hAnsi="Arial" w:cs="Arial"/>
          <w:lang w:val="az-Latn-AZ"/>
        </w:rPr>
        <w:t>lərin aradan qaldırılması, habelə fəaliyyət</w:t>
      </w:r>
      <w:r w:rsidR="004D6F7F">
        <w:rPr>
          <w:rFonts w:ascii="Arial" w:hAnsi="Arial" w:cs="Arial"/>
          <w:lang w:val="az-Latn-AZ"/>
        </w:rPr>
        <w:t xml:space="preserve"> və</w:t>
      </w:r>
      <w:r w:rsidR="00721886">
        <w:rPr>
          <w:rFonts w:ascii="Arial" w:hAnsi="Arial" w:cs="Arial"/>
          <w:lang w:val="az-Latn-AZ"/>
        </w:rPr>
        <w:t xml:space="preserve"> </w:t>
      </w:r>
      <w:r w:rsidR="00C635D5">
        <w:rPr>
          <w:rFonts w:ascii="Arial" w:hAnsi="Arial" w:cs="Arial"/>
          <w:lang w:val="az-Latn-AZ"/>
        </w:rPr>
        <w:t>proseslərin yaxşılaşdırılması istiqamətində tədbirlər görür</w:t>
      </w:r>
      <w:r w:rsidR="00F22078" w:rsidRPr="00A43012">
        <w:rPr>
          <w:rFonts w:ascii="Arial" w:hAnsi="Arial" w:cs="Arial"/>
          <w:lang w:val="az-Latn-AZ"/>
        </w:rPr>
        <w:t>.</w:t>
      </w:r>
      <w:r w:rsidR="00EF2176" w:rsidRPr="00A43012">
        <w:rPr>
          <w:rFonts w:ascii="Arial" w:hAnsi="Arial" w:cs="Arial"/>
          <w:lang w:val="az-Latn-AZ"/>
        </w:rPr>
        <w:t xml:space="preserve"> </w:t>
      </w:r>
    </w:p>
    <w:p w:rsidR="00A36E22" w:rsidRDefault="00A36E22" w:rsidP="00A43012">
      <w:pPr>
        <w:pStyle w:val="ListParagraph"/>
        <w:ind w:left="1080"/>
        <w:jc w:val="both"/>
        <w:rPr>
          <w:rFonts w:ascii="Arial" w:hAnsi="Arial" w:cs="Arial"/>
          <w:lang w:val="az-Latn-AZ"/>
        </w:rPr>
      </w:pPr>
    </w:p>
    <w:p w:rsidR="00737501" w:rsidRPr="00A36E22" w:rsidRDefault="00AF6651" w:rsidP="00A36E22">
      <w:pPr>
        <w:pStyle w:val="ListParagraph"/>
        <w:numPr>
          <w:ilvl w:val="0"/>
          <w:numId w:val="6"/>
        </w:numPr>
        <w:jc w:val="center"/>
        <w:rPr>
          <w:rFonts w:ascii="Arial" w:hAnsi="Arial" w:cs="Arial"/>
          <w:b/>
          <w:lang w:val="az-Latn-AZ"/>
        </w:rPr>
      </w:pPr>
      <w:r w:rsidRPr="00A36E22">
        <w:rPr>
          <w:rFonts w:ascii="Arial" w:hAnsi="Arial" w:cs="Arial"/>
          <w:b/>
          <w:lang w:val="az-Latn-AZ"/>
        </w:rPr>
        <w:t>Risk İşatahası üzrə Monitorinq və Hesabatlıq</w:t>
      </w:r>
    </w:p>
    <w:p w:rsidR="00AF6651" w:rsidRPr="00A36E22" w:rsidRDefault="00AF6651" w:rsidP="00A36E22">
      <w:pPr>
        <w:pStyle w:val="ListParagraph"/>
        <w:numPr>
          <w:ilvl w:val="1"/>
          <w:numId w:val="6"/>
        </w:numPr>
        <w:rPr>
          <w:rFonts w:ascii="Arial" w:hAnsi="Arial" w:cs="Arial"/>
          <w:lang w:val="az-Latn-AZ"/>
        </w:rPr>
      </w:pPr>
      <w:r w:rsidRPr="00A36E22">
        <w:rPr>
          <w:rFonts w:ascii="Arial" w:hAnsi="Arial" w:cs="Arial"/>
          <w:lang w:val="az-Latn-AZ"/>
        </w:rPr>
        <w:t>Risk iştahası göstəricilərinin cari vəziyyətinin təyin edilmiş maksimum hədlər ilə üzləşdirilməsi, monitorinqi və hesbatlığı Bankın Yüksək Rəhbərliyinin qərarverməsinə dəstək olmaq və güclü nəzarət mühitinin yaradılması məqsədilə həyata keçirilir.</w:t>
      </w:r>
    </w:p>
    <w:p w:rsidR="00AF6651" w:rsidRPr="00A36E22" w:rsidRDefault="00AF6651" w:rsidP="00A36E22">
      <w:pPr>
        <w:pStyle w:val="ListParagraph"/>
        <w:numPr>
          <w:ilvl w:val="1"/>
          <w:numId w:val="6"/>
        </w:numPr>
        <w:rPr>
          <w:rFonts w:ascii="Arial" w:hAnsi="Arial" w:cs="Arial"/>
          <w:lang w:val="az-Latn-AZ"/>
        </w:rPr>
      </w:pPr>
      <w:r w:rsidRPr="00A36E22">
        <w:rPr>
          <w:rFonts w:ascii="Arial" w:hAnsi="Arial" w:cs="Arial"/>
          <w:lang w:val="az-Latn-AZ"/>
        </w:rPr>
        <w:t>Risk İştahası Bəyannaməsində əks etdirilən göstəricilərin monitorinqi Bankın bu vəzifə üzrə mə</w:t>
      </w:r>
      <w:r w:rsidR="00460085">
        <w:rPr>
          <w:rFonts w:ascii="Arial" w:hAnsi="Arial" w:cs="Arial"/>
          <w:lang w:val="az-Latn-AZ"/>
        </w:rPr>
        <w:t>sul strukturlar</w:t>
      </w:r>
      <w:r w:rsidRPr="00A36E22">
        <w:rPr>
          <w:rFonts w:ascii="Arial" w:hAnsi="Arial" w:cs="Arial"/>
          <w:lang w:val="az-Latn-AZ"/>
        </w:rPr>
        <w:t xml:space="preserve"> tərəfindən icra edilir.</w:t>
      </w:r>
    </w:p>
    <w:p w:rsidR="00AF6651" w:rsidRDefault="005A732E" w:rsidP="00A36E22">
      <w:pPr>
        <w:pStyle w:val="ListParagraph"/>
        <w:numPr>
          <w:ilvl w:val="1"/>
          <w:numId w:val="6"/>
        </w:numPr>
        <w:rPr>
          <w:rFonts w:ascii="Arial" w:hAnsi="Arial" w:cs="Arial"/>
          <w:lang w:val="az-Latn-AZ"/>
        </w:rPr>
      </w:pPr>
      <w:r w:rsidRPr="00A36E22">
        <w:rPr>
          <w:rFonts w:ascii="Arial" w:hAnsi="Arial" w:cs="Arial"/>
          <w:lang w:val="az-Latn-AZ"/>
        </w:rPr>
        <w:t>RİB göstəricilərinin dözümlülük zonalarına uyğunluğu barədə hesabat aylıq əsasda İdarə Heyəti, Riskləri İdarəetmə Komitəsi və Müşahidə Şurasına təqdim edilir.</w:t>
      </w:r>
    </w:p>
    <w:p w:rsidR="00557FD8" w:rsidRPr="00557FD8" w:rsidRDefault="00557FD8" w:rsidP="00A36E22">
      <w:pPr>
        <w:pStyle w:val="ListParagraph"/>
        <w:numPr>
          <w:ilvl w:val="1"/>
          <w:numId w:val="6"/>
        </w:numPr>
        <w:rPr>
          <w:rFonts w:ascii="Arial" w:hAnsi="Arial" w:cs="Arial"/>
          <w:lang w:val="az-Latn-AZ"/>
        </w:rPr>
      </w:pPr>
      <w:r w:rsidRPr="00557FD8">
        <w:rPr>
          <w:rFonts w:ascii="Arial" w:hAnsi="Arial" w:cs="Arial"/>
          <w:lang w:val="az-Latn-AZ"/>
        </w:rPr>
        <w:t>Hesabat özündə risk iştahası üzrə göstəriciləri, cari vaxta risk iştahası limitlərinin vəziyyətini, risk iştahası limitlərindən yayınmaları və</w:t>
      </w:r>
      <w:r>
        <w:rPr>
          <w:rFonts w:ascii="Arial" w:hAnsi="Arial" w:cs="Arial"/>
          <w:lang w:val="az-Latn-AZ"/>
        </w:rPr>
        <w:t xml:space="preserve"> yaxşılaşdır</w:t>
      </w:r>
      <w:r w:rsidRPr="00557FD8">
        <w:rPr>
          <w:rFonts w:ascii="Arial" w:hAnsi="Arial" w:cs="Arial"/>
          <w:lang w:val="az-Latn-AZ"/>
        </w:rPr>
        <w:t>ma üzrə tədbirlər planını əhatə edir.</w:t>
      </w:r>
    </w:p>
    <w:p w:rsidR="00A36E22" w:rsidRDefault="00A36E22" w:rsidP="00A36E22">
      <w:pPr>
        <w:pStyle w:val="ListParagraph"/>
        <w:rPr>
          <w:rFonts w:ascii="Arial" w:hAnsi="Arial" w:cs="Arial"/>
          <w:b/>
          <w:lang w:val="az-Latn-AZ"/>
        </w:rPr>
      </w:pPr>
    </w:p>
    <w:p w:rsidR="00737501" w:rsidRPr="00A36E22" w:rsidRDefault="00737501" w:rsidP="00A36E22">
      <w:pPr>
        <w:pStyle w:val="ListParagraph"/>
        <w:numPr>
          <w:ilvl w:val="0"/>
          <w:numId w:val="6"/>
        </w:numPr>
        <w:jc w:val="center"/>
        <w:rPr>
          <w:rFonts w:ascii="Arial" w:hAnsi="Arial" w:cs="Arial"/>
          <w:b/>
          <w:lang w:val="az-Latn-AZ"/>
        </w:rPr>
      </w:pPr>
      <w:r w:rsidRPr="00A36E22">
        <w:rPr>
          <w:rFonts w:ascii="Arial" w:hAnsi="Arial" w:cs="Arial"/>
          <w:b/>
          <w:lang w:val="az-Latn-AZ"/>
        </w:rPr>
        <w:t>Yekun müddəalar</w:t>
      </w:r>
    </w:p>
    <w:p w:rsidR="003D1A17" w:rsidRPr="00A36E22" w:rsidRDefault="003D1A17" w:rsidP="00A36E22">
      <w:pPr>
        <w:pStyle w:val="ListParagraph"/>
        <w:numPr>
          <w:ilvl w:val="1"/>
          <w:numId w:val="6"/>
        </w:numPr>
        <w:jc w:val="both"/>
        <w:rPr>
          <w:rFonts w:ascii="Arial" w:hAnsi="Arial" w:cs="Arial"/>
          <w:lang w:val="az-Latn-AZ"/>
        </w:rPr>
      </w:pPr>
      <w:r w:rsidRPr="00A36E22">
        <w:rPr>
          <w:rFonts w:ascii="Arial" w:hAnsi="Arial" w:cs="Arial"/>
          <w:lang w:val="az-Latn-AZ"/>
        </w:rPr>
        <w:t xml:space="preserve">Bankın bütün əməkdaşları öz işlərində Bankın Risk İştahası və tolerantlıq səviyyəsini rəhbər tutur və </w:t>
      </w:r>
      <w:r w:rsidR="00006961">
        <w:rPr>
          <w:rFonts w:ascii="Arial" w:hAnsi="Arial" w:cs="Arial"/>
          <w:lang w:val="az-Latn-AZ"/>
        </w:rPr>
        <w:t>icrası üçün</w:t>
      </w:r>
      <w:r w:rsidR="0011760D">
        <w:rPr>
          <w:rFonts w:ascii="Arial" w:hAnsi="Arial" w:cs="Arial"/>
          <w:lang w:val="az-Latn-AZ"/>
        </w:rPr>
        <w:t xml:space="preserve"> </w:t>
      </w:r>
      <w:r w:rsidRPr="00A36E22">
        <w:rPr>
          <w:rFonts w:ascii="Arial" w:hAnsi="Arial" w:cs="Arial"/>
          <w:lang w:val="az-Latn-AZ"/>
        </w:rPr>
        <w:t>məsuliyyət daşıyır.</w:t>
      </w:r>
    </w:p>
    <w:p w:rsidR="00F92431" w:rsidRPr="00A36E22" w:rsidRDefault="00737501" w:rsidP="00A36E22">
      <w:pPr>
        <w:pStyle w:val="ListParagraph"/>
        <w:numPr>
          <w:ilvl w:val="1"/>
          <w:numId w:val="6"/>
        </w:numPr>
        <w:jc w:val="both"/>
        <w:rPr>
          <w:rFonts w:ascii="Arial" w:hAnsi="Arial" w:cs="Arial"/>
          <w:lang w:val="az-Latn-AZ"/>
        </w:rPr>
      </w:pPr>
      <w:r w:rsidRPr="00A36E22">
        <w:rPr>
          <w:rFonts w:ascii="Arial" w:hAnsi="Arial" w:cs="Arial"/>
          <w:lang w:val="az-Latn-AZ"/>
        </w:rPr>
        <w:t>Bankın Risk İştahası Bəyannaməsi sənədi ən azı ildə 1 dəfə olmaqla nəzərdən keçirilir və ehtiyac olduqda yenilənir.</w:t>
      </w:r>
    </w:p>
    <w:p w:rsidR="00737501" w:rsidRPr="00A36E22" w:rsidRDefault="00737501" w:rsidP="00A36E22">
      <w:pPr>
        <w:pStyle w:val="ListParagraph"/>
        <w:numPr>
          <w:ilvl w:val="1"/>
          <w:numId w:val="6"/>
        </w:numPr>
        <w:jc w:val="both"/>
        <w:rPr>
          <w:rFonts w:ascii="Arial" w:hAnsi="Arial" w:cs="Arial"/>
          <w:lang w:val="az-Latn-AZ"/>
        </w:rPr>
      </w:pPr>
      <w:r w:rsidRPr="00A36E22">
        <w:rPr>
          <w:rFonts w:ascii="Arial" w:hAnsi="Arial" w:cs="Arial"/>
          <w:lang w:val="az-Latn-AZ"/>
        </w:rPr>
        <w:t>Bankın Risk İştahası Bəyannaməsi Bankın</w:t>
      </w:r>
      <w:r w:rsidR="00F92431" w:rsidRPr="00A36E22">
        <w:rPr>
          <w:rFonts w:ascii="Arial" w:hAnsi="Arial" w:cs="Arial"/>
          <w:lang w:val="az-Latn-AZ"/>
        </w:rPr>
        <w:t xml:space="preserve"> İdarə Heyəti və Riskləri İdarə Etmə Komitəsi tərəfindən nəzərdən keçirilir və</w:t>
      </w:r>
      <w:r w:rsidRPr="00A36E22">
        <w:rPr>
          <w:rFonts w:ascii="Arial" w:hAnsi="Arial" w:cs="Arial"/>
          <w:lang w:val="az-Latn-AZ"/>
        </w:rPr>
        <w:t xml:space="preserve"> Müşahidə Şurasının təsdiqilə qüvvəyə minir.</w:t>
      </w:r>
    </w:p>
    <w:p w:rsidR="005365C6" w:rsidRPr="00923680" w:rsidRDefault="00737501" w:rsidP="00923680">
      <w:pPr>
        <w:pStyle w:val="ListParagraph"/>
        <w:numPr>
          <w:ilvl w:val="1"/>
          <w:numId w:val="6"/>
        </w:numPr>
        <w:jc w:val="both"/>
        <w:rPr>
          <w:rFonts w:ascii="Arial" w:hAnsi="Arial" w:cs="Arial"/>
          <w:lang w:val="az-Latn-AZ"/>
        </w:rPr>
      </w:pPr>
      <w:r w:rsidRPr="00A36E22">
        <w:rPr>
          <w:rFonts w:ascii="Arial" w:hAnsi="Arial" w:cs="Arial"/>
          <w:lang w:val="az-Latn-AZ"/>
        </w:rPr>
        <w:t>Risk İştahası Bəyannaməsinə ediləcək bütün dəyişikliklər və əlavələr Bankın Müşahidə Şurasının təsdiqindən sonra qüvvəyə minir.</w:t>
      </w:r>
      <w:bookmarkStart w:id="0" w:name="_GoBack"/>
      <w:bookmarkEnd w:id="0"/>
    </w:p>
    <w:sectPr w:rsidR="005365C6" w:rsidRPr="00923680" w:rsidSect="00A36E22">
      <w:pgSz w:w="12240" w:h="15840"/>
      <w:pgMar w:top="1440" w:right="1440" w:bottom="127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8401C" w16cex:dateUtc="2025-11-03T11:42:00Z"/>
  <w16cex:commentExtensible w16cex:durableId="2F241502" w16cex:dateUtc="2025-11-03T11:47:00Z"/>
  <w16cex:commentExtensible w16cex:durableId="44A8F69E" w16cex:dateUtc="2025-11-03T12:03:00Z"/>
  <w16cex:commentExtensible w16cex:durableId="57866917" w16cex:dateUtc="2025-11-03T11:48:00Z"/>
  <w16cex:commentExtensible w16cex:durableId="4907DAFC" w16cex:dateUtc="2025-11-03T12:01:00Z"/>
  <w16cex:commentExtensible w16cex:durableId="706DFE20" w16cex:dateUtc="2025-11-03T11:53:00Z"/>
  <w16cex:commentExtensible w16cex:durableId="38424A35" w16cex:dateUtc="2025-11-03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00733" w16cid:durableId="0488401C"/>
  <w16cid:commentId w16cid:paraId="498AEC7C" w16cid:durableId="2F241502"/>
  <w16cid:commentId w16cid:paraId="09880729" w16cid:durableId="44A8F69E"/>
  <w16cid:commentId w16cid:paraId="5BE4EDEE" w16cid:durableId="57866917"/>
  <w16cid:commentId w16cid:paraId="62993752" w16cid:durableId="4907DAFC"/>
  <w16cid:commentId w16cid:paraId="7393C591" w16cid:durableId="706DFE20"/>
  <w16cid:commentId w16cid:paraId="3FF3C01B" w16cid:durableId="38424A3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B5A2C"/>
    <w:multiLevelType w:val="multilevel"/>
    <w:tmpl w:val="1E5C1E52"/>
    <w:lvl w:ilvl="0">
      <w:start w:val="1"/>
      <w:numFmt w:val="decimal"/>
      <w:lvlText w:val="%1"/>
      <w:lvlJc w:val="left"/>
      <w:pPr>
        <w:ind w:left="444" w:hanging="444"/>
      </w:pPr>
    </w:lvl>
    <w:lvl w:ilvl="1">
      <w:start w:val="2"/>
      <w:numFmt w:val="decimal"/>
      <w:lvlText w:val="%1.%2"/>
      <w:lvlJc w:val="left"/>
      <w:pPr>
        <w:ind w:left="984" w:hanging="444"/>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 w15:restartNumberingAfterBreak="0">
    <w:nsid w:val="422B1B46"/>
    <w:multiLevelType w:val="hybridMultilevel"/>
    <w:tmpl w:val="23F8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95D1A"/>
    <w:multiLevelType w:val="multilevel"/>
    <w:tmpl w:val="4EA466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734A91"/>
    <w:multiLevelType w:val="hybridMultilevel"/>
    <w:tmpl w:val="BBCA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C5A78"/>
    <w:multiLevelType w:val="multilevel"/>
    <w:tmpl w:val="A920CABC"/>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3"/>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96"/>
    <w:rsid w:val="00002703"/>
    <w:rsid w:val="00006961"/>
    <w:rsid w:val="000A55B4"/>
    <w:rsid w:val="000C52F9"/>
    <w:rsid w:val="0011760D"/>
    <w:rsid w:val="00120520"/>
    <w:rsid w:val="00142AC9"/>
    <w:rsid w:val="00144F8F"/>
    <w:rsid w:val="00220227"/>
    <w:rsid w:val="002D3175"/>
    <w:rsid w:val="002F2CEA"/>
    <w:rsid w:val="003633C0"/>
    <w:rsid w:val="003D1A17"/>
    <w:rsid w:val="003E6E92"/>
    <w:rsid w:val="00460085"/>
    <w:rsid w:val="004D0425"/>
    <w:rsid w:val="004D50E5"/>
    <w:rsid w:val="004D6F7F"/>
    <w:rsid w:val="00531E56"/>
    <w:rsid w:val="005365C6"/>
    <w:rsid w:val="0054778E"/>
    <w:rsid w:val="00557FD8"/>
    <w:rsid w:val="0059315E"/>
    <w:rsid w:val="005A732E"/>
    <w:rsid w:val="00652B81"/>
    <w:rsid w:val="00663103"/>
    <w:rsid w:val="00695650"/>
    <w:rsid w:val="006A7C30"/>
    <w:rsid w:val="00721886"/>
    <w:rsid w:val="00737501"/>
    <w:rsid w:val="007377DF"/>
    <w:rsid w:val="0078285C"/>
    <w:rsid w:val="007C252F"/>
    <w:rsid w:val="00832241"/>
    <w:rsid w:val="00835C8D"/>
    <w:rsid w:val="008609E1"/>
    <w:rsid w:val="00923680"/>
    <w:rsid w:val="00986D6C"/>
    <w:rsid w:val="009B37AB"/>
    <w:rsid w:val="009E468E"/>
    <w:rsid w:val="00A36E22"/>
    <w:rsid w:val="00A43012"/>
    <w:rsid w:val="00AA5328"/>
    <w:rsid w:val="00AF5619"/>
    <w:rsid w:val="00AF6651"/>
    <w:rsid w:val="00B2582A"/>
    <w:rsid w:val="00BC2FA9"/>
    <w:rsid w:val="00BD6574"/>
    <w:rsid w:val="00BE2B96"/>
    <w:rsid w:val="00C443AF"/>
    <w:rsid w:val="00C635D5"/>
    <w:rsid w:val="00C97E81"/>
    <w:rsid w:val="00D47B40"/>
    <w:rsid w:val="00DB17BB"/>
    <w:rsid w:val="00DE7921"/>
    <w:rsid w:val="00E3180A"/>
    <w:rsid w:val="00E40434"/>
    <w:rsid w:val="00E41934"/>
    <w:rsid w:val="00EC138C"/>
    <w:rsid w:val="00EC47A0"/>
    <w:rsid w:val="00ED3CFD"/>
    <w:rsid w:val="00EF2176"/>
    <w:rsid w:val="00F11317"/>
    <w:rsid w:val="00F22078"/>
    <w:rsid w:val="00F92431"/>
    <w:rsid w:val="00FA5D4D"/>
    <w:rsid w:val="00FE6EC3"/>
    <w:rsid w:val="00FE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6BA4"/>
  <w15:chartTrackingRefBased/>
  <w15:docId w15:val="{C803215C-03D4-4A8C-86B7-4A8174C4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B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B96"/>
    <w:rPr>
      <w:color w:val="0563C1" w:themeColor="hyperlink"/>
      <w:u w:val="single"/>
    </w:rPr>
  </w:style>
  <w:style w:type="paragraph" w:styleId="CommentText">
    <w:name w:val="annotation text"/>
    <w:basedOn w:val="Normal"/>
    <w:link w:val="CommentTextChar"/>
    <w:uiPriority w:val="99"/>
    <w:unhideWhenUsed/>
    <w:rsid w:val="00BE2B96"/>
    <w:pPr>
      <w:spacing w:line="240" w:lineRule="auto"/>
    </w:pPr>
    <w:rPr>
      <w:sz w:val="20"/>
      <w:szCs w:val="20"/>
    </w:rPr>
  </w:style>
  <w:style w:type="character" w:customStyle="1" w:styleId="CommentTextChar">
    <w:name w:val="Comment Text Char"/>
    <w:basedOn w:val="DefaultParagraphFont"/>
    <w:link w:val="CommentText"/>
    <w:uiPriority w:val="99"/>
    <w:rsid w:val="00BE2B96"/>
    <w:rPr>
      <w:sz w:val="20"/>
      <w:szCs w:val="20"/>
    </w:rPr>
  </w:style>
  <w:style w:type="paragraph" w:styleId="ListParagraph">
    <w:name w:val="List Paragraph"/>
    <w:basedOn w:val="Normal"/>
    <w:uiPriority w:val="34"/>
    <w:qFormat/>
    <w:rsid w:val="00BE2B96"/>
    <w:pPr>
      <w:ind w:left="720"/>
      <w:contextualSpacing/>
    </w:pPr>
  </w:style>
  <w:style w:type="character" w:styleId="CommentReference">
    <w:name w:val="annotation reference"/>
    <w:basedOn w:val="DefaultParagraphFont"/>
    <w:uiPriority w:val="99"/>
    <w:semiHidden/>
    <w:unhideWhenUsed/>
    <w:rsid w:val="00BE2B96"/>
    <w:rPr>
      <w:sz w:val="16"/>
      <w:szCs w:val="16"/>
    </w:rPr>
  </w:style>
  <w:style w:type="paragraph" w:styleId="BalloonText">
    <w:name w:val="Balloon Text"/>
    <w:basedOn w:val="Normal"/>
    <w:link w:val="BalloonTextChar"/>
    <w:uiPriority w:val="99"/>
    <w:semiHidden/>
    <w:unhideWhenUsed/>
    <w:rsid w:val="00BE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B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2703"/>
    <w:rPr>
      <w:b/>
      <w:bCs/>
    </w:rPr>
  </w:style>
  <w:style w:type="character" w:customStyle="1" w:styleId="CommentSubjectChar">
    <w:name w:val="Comment Subject Char"/>
    <w:basedOn w:val="CommentTextChar"/>
    <w:link w:val="CommentSubject"/>
    <w:uiPriority w:val="99"/>
    <w:semiHidden/>
    <w:rsid w:val="000027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9312">
      <w:bodyDiv w:val="1"/>
      <w:marLeft w:val="0"/>
      <w:marRight w:val="0"/>
      <w:marTop w:val="0"/>
      <w:marBottom w:val="0"/>
      <w:divBdr>
        <w:top w:val="none" w:sz="0" w:space="0" w:color="auto"/>
        <w:left w:val="none" w:sz="0" w:space="0" w:color="auto"/>
        <w:bottom w:val="none" w:sz="0" w:space="0" w:color="auto"/>
        <w:right w:val="none" w:sz="0" w:space="0" w:color="auto"/>
      </w:divBdr>
    </w:div>
    <w:div w:id="1395811802">
      <w:bodyDiv w:val="1"/>
      <w:marLeft w:val="0"/>
      <w:marRight w:val="0"/>
      <w:marTop w:val="0"/>
      <w:marBottom w:val="0"/>
      <w:divBdr>
        <w:top w:val="none" w:sz="0" w:space="0" w:color="auto"/>
        <w:left w:val="none" w:sz="0" w:space="0" w:color="auto"/>
        <w:bottom w:val="none" w:sz="0" w:space="0" w:color="auto"/>
        <w:right w:val="none" w:sz="0" w:space="0" w:color="auto"/>
      </w:divBdr>
    </w:div>
    <w:div w:id="1560939227">
      <w:bodyDiv w:val="1"/>
      <w:marLeft w:val="0"/>
      <w:marRight w:val="0"/>
      <w:marTop w:val="0"/>
      <w:marBottom w:val="0"/>
      <w:divBdr>
        <w:top w:val="none" w:sz="0" w:space="0" w:color="auto"/>
        <w:left w:val="none" w:sz="0" w:space="0" w:color="auto"/>
        <w:bottom w:val="none" w:sz="0" w:space="0" w:color="auto"/>
        <w:right w:val="none" w:sz="0" w:space="0" w:color="auto"/>
      </w:divBdr>
    </w:div>
    <w:div w:id="19855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tOGtnYnF5OWxYMjFScnp2bERVS28vSFd3MnIxZitiQTwvZWxoPjxjb25maWc+S2FwaXRhbCBCYW5rIEFTQzwvY29uZmlnPjxwb2w+S2FwaXRhbCBCYW5rIEFTQyBQb2xpY3k8L3BvbD48c3VtbWFyeT5JbnRlcm5hbD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Dwcy6h3KO73XXwPj/GuHEuyvKRYZKN75GZ/GhoUUvhk=</DigestValue>
      </Reference>
      <Reference URI="#INFO">
        <DigestMethod Algorithm="http://www.w3.org/2001/04/xmlenc#sha256"/>
        <DigestValue>fbzpF4g1/XCF9/jaEIyZSnmZObN9I0iNeXW5MN87vrc=</DigestValue>
      </Reference>
    </SignedInfo>
    <SignatureValue>GZ6w9TF1y+z5tl+WDcINz2EFjTK8vIEOgIgL+aAjNgfkLoFJJ2oG3whgIXQwUFZvxGsn9zLVVHEEHSofYcBXqA==</SignatureValue>
    <Object Id="INFO">
      <ArrayOfString xmlns:xsd="http://www.w3.org/2001/XMLSchema" xmlns:xsi="http://www.w3.org/2001/XMLSchema-instance" xmlns="">
        <string>m8kgbqy9lX21RrzvlDUKo/HWw2r1f+bA</string>
      </ArrayOfString>
    </Object>
  </Signature>
</WrappedLabelInfo>
</file>

<file path=customXml/item2.xml><?xml version="1.0" encoding="utf-8"?>
<sisl xmlns:xsd="http://www.w3.org/2001/XMLSchema" xmlns:xsi="http://www.w3.org/2001/XMLSchema-instance" xmlns="http://www.boldonjames.com/2008/01/sie/internal/label" sislVersion="0" policy="e9c0b8d7-bdb4-4fd3-b62a-f50327aaefce" origin="userSelected">
  <element uid="c7d15a3d-8a62-44a7-8077-6c02b986812c"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u5krZ6d+vXZGVUQTKACcemWM3IwjDIqc4hYUHwbkQM8=</DigestValue>
      </Reference>
      <Reference URI="#CLASSIFICATIONHISTORY">
        <DigestMethod Algorithm="http://www.w3.org/2001/04/xmlenc#sha256"/>
        <DigestValue>hdmaio7TUlA7hUwEM8nvlWB4CMnOh49Ht2ePAefJlDs=</DigestValue>
      </Reference>
    </SignedInfo>
    <SignatureValue>aFiDu6G/oOdhC1kvTuAuM9YB/RxZQSsMNN+9HfAyWvllQelfeNxckYDxPFwHxsqW1EWCDq4o7Kz5ZG6BPh5rvA==</SignatureValue>
    <Object Id="CLASSIFICATIONHISTORY">
      <ArrayOfString xmlns:xsd="http://www.w3.org/2001/XMLSchema" xmlns:xsi="http://www.w3.org/2001/XMLSchema-instance" xmlns="">
        <string>2VgG/OGUwkDcrSuw/1z04Kq+MNyfK6Tw</string>
      </ArrayOfString>
    </Object>
  </Signature>
</WrappedLabelHistory>
</file>

<file path=customXml/itemProps1.xml><?xml version="1.0" encoding="utf-8"?>
<ds:datastoreItem xmlns:ds="http://schemas.openxmlformats.org/officeDocument/2006/customXml" ds:itemID="{AFA27E79-B1B0-485E-9005-29B77CE9E02B}">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F6568703-F062-4E69-8553-F6AD7B27172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B5265A2-C283-4EC0-AAD4-9CB67478F1D1}">
  <ds:schemaRefs>
    <ds:schemaRef ds:uri="http://www.w3.org/2001/XMLSchema"/>
    <ds:schemaRef ds:uri="http://www.boldonjames.com/2016/02/Classifier/internal/wrappedLabelHistory"/>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6593</Characters>
  <Application>Microsoft Office Word</Application>
  <DocSecurity>0</DocSecurity>
  <Lines>121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Xanim A. Maharlamova</dc:creator>
  <cp:keywords/>
  <dc:description/>
  <cp:lastModifiedBy>Oksana I. Bagirova</cp:lastModifiedBy>
  <cp:revision>3</cp:revision>
  <dcterms:created xsi:type="dcterms:W3CDTF">2025-11-03T13:27:00Z</dcterms:created>
  <dcterms:modified xsi:type="dcterms:W3CDTF">2025-11-04T14:02:00Z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38f46d81-93d2-4d86-931d-9e091838b16e</vt:lpwstr>
  </property>
  <property fmtid="{D5CDD505-2E9C-101B-9397-08002B2CF9AE}" pid="3" name="bjSaver">
    <vt:lpwstr>uC+c15DrOUlrATrJ2yoxMXATrlyb2cjQ</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uid="c7d15a3d-8a62-44a7-8077-6c02b986812c" value="" /&gt;&lt;/sisl&gt;</vt:lpwstr>
  </property>
  <property fmtid="{D5CDD505-2E9C-101B-9397-08002B2CF9AE}" pid="6" name="bjClsUserRVM">
    <vt:lpwstr>[]</vt:lpwstr>
  </property>
  <property fmtid="{D5CDD505-2E9C-101B-9397-08002B2CF9AE}" pid="7" name="bjpmDocIH">
    <vt:lpwstr>ig11NYpHtQC7nu1/uHagZsfpIxETNto7</vt:lpwstr>
  </property>
  <property fmtid="{D5CDD505-2E9C-101B-9397-08002B2CF9AE}" pid="8" name="bjLabelHistoryID">
    <vt:lpwstr>{4B5265A2-C283-4EC0-AAD4-9CB67478F1D1}</vt:lpwstr>
  </property>
</Properties>
</file>